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ADA" w:rsidRDefault="006902DE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</w:rPr>
      </w:pPr>
      <w:bookmarkStart w:id="0" w:name="OLE_LINK2"/>
      <w:bookmarkStart w:id="1" w:name="OLE_LINK1"/>
      <w:r>
        <w:rPr>
          <w:rFonts w:ascii="Arial" w:hAnsi="Arial" w:cs="Arial"/>
          <w:sz w:val="22"/>
        </w:rPr>
        <w:t>3GPP TSG RAN WG1 Meeting #92bis                                                                       R1-1804236</w:t>
      </w: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Sanya, China, April 16</w:t>
      </w:r>
      <w:r>
        <w:rPr>
          <w:rFonts w:cs="Arial"/>
          <w:sz w:val="22"/>
          <w:vertAlign w:val="superscript"/>
        </w:rPr>
        <w:t>th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  <w:vertAlign w:val="superscript"/>
        </w:rPr>
        <w:t>–</w:t>
      </w:r>
      <w:r>
        <w:rPr>
          <w:rFonts w:cs="Arial"/>
          <w:sz w:val="22"/>
        </w:rPr>
        <w:t xml:space="preserve"> 20</w:t>
      </w:r>
      <w:r>
        <w:rPr>
          <w:rFonts w:cs="Arial"/>
          <w:sz w:val="22"/>
          <w:vertAlign w:val="superscript"/>
        </w:rPr>
        <w:t>th</w:t>
      </w:r>
      <w:r>
        <w:rPr>
          <w:rFonts w:cs="Arial"/>
          <w:sz w:val="22"/>
        </w:rPr>
        <w:t>, 2018</w:t>
      </w:r>
    </w:p>
    <w:p w:rsidR="00010ADA" w:rsidRDefault="00010ADA">
      <w:pPr>
        <w:pStyle w:val="3GPPHeader"/>
        <w:snapToGrid w:val="0"/>
        <w:rPr>
          <w:rFonts w:cs="Arial"/>
          <w:sz w:val="22"/>
        </w:rPr>
      </w:pP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ZTE, Sanechips, CATR</w:t>
      </w: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 on the NR impacts on random access for NTN</w:t>
      </w: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7.3.2</w:t>
      </w:r>
    </w:p>
    <w:p w:rsidR="00010ADA" w:rsidRDefault="006902DE">
      <w:pPr>
        <w:pBdr>
          <w:bottom w:val="single" w:sz="6" w:space="1" w:color="auto"/>
        </w:pBdr>
        <w:snapToGrid w:val="0"/>
        <w:rPr>
          <w:rFonts w:ascii="Arial" w:hAnsi="Arial"/>
          <w:b/>
        </w:rPr>
      </w:pPr>
      <w:r>
        <w:rPr>
          <w:rFonts w:ascii="Arial" w:hAnsi="Arial"/>
          <w:b/>
        </w:rPr>
        <w:t>Document for:     Discussion and Decision</w:t>
      </w:r>
      <w:bookmarkEnd w:id="0"/>
      <w:bookmarkEnd w:id="1"/>
    </w:p>
    <w:p w:rsidR="00010ADA" w:rsidRDefault="006902DE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</w:p>
    <w:p w:rsidR="00010ADA" w:rsidRDefault="006902DE">
      <w:pPr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The objective of this document is to identify the key impacts regarding the </w:t>
      </w:r>
      <w:r>
        <w:rPr>
          <w:rFonts w:ascii="Times New Roman" w:hAnsi="Times New Roman" w:cs="Times New Roman" w:hint="eastAsia"/>
          <w:bCs/>
          <w:sz w:val="20"/>
          <w:szCs w:val="20"/>
          <w:lang w:eastAsia="zh-CN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 xml:space="preserve">nitial TA 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(time advance) </w:t>
      </w:r>
      <w:r>
        <w:rPr>
          <w:rFonts w:ascii="Times New Roman" w:hAnsi="Times New Roman" w:cs="Times New Roman"/>
          <w:bCs/>
          <w:sz w:val="20"/>
          <w:szCs w:val="20"/>
        </w:rPr>
        <w:t>during random access procedure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 and possible random access signal format</w:t>
      </w:r>
      <w:r>
        <w:rPr>
          <w:rFonts w:ascii="Times New Roman" w:eastAsia="宋体" w:hAnsi="Times New Roman" w:cs="Times New Roman"/>
          <w:bCs/>
          <w:sz w:val="20"/>
          <w:szCs w:val="20"/>
          <w:lang w:eastAsia="zh-CN"/>
        </w:rPr>
        <w:t xml:space="preserve"> design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>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 </w:t>
      </w:r>
    </w:p>
    <w:p w:rsidR="00010ADA" w:rsidRDefault="006902DE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Text propos</w:t>
      </w:r>
      <w:r>
        <w:rPr>
          <w:rFonts w:eastAsia="黑体" w:cs="Times New Roman"/>
          <w:b/>
          <w:bCs/>
          <w:sz w:val="28"/>
          <w:szCs w:val="30"/>
          <w:lang w:val="en-US"/>
        </w:rPr>
        <w:t>al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 for approval</w:t>
      </w:r>
    </w:p>
    <w:p w:rsidR="00010ADA" w:rsidRDefault="006902DE">
      <w:pPr>
        <w:pStyle w:val="B1"/>
        <w:ind w:left="0" w:firstLine="0"/>
        <w:rPr>
          <w:lang w:eastAsia="zh-CN"/>
        </w:rPr>
      </w:pPr>
      <w:r>
        <w:rPr>
          <w:lang w:eastAsia="zh-CN"/>
        </w:rPr>
        <w:t>It is proposed to add the following texts to TR 38.811 “</w:t>
      </w:r>
      <w:r>
        <w:t>Study on NR to support Non-Terrestrial Networks”</w:t>
      </w:r>
      <w:r>
        <w:rPr>
          <w:lang w:eastAsia="zh-CN"/>
        </w:rPr>
        <w:t>.</w:t>
      </w:r>
    </w:p>
    <w:p w:rsidR="00010ADA" w:rsidRDefault="00690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 * * Start of changes * * * * </w:t>
      </w:r>
    </w:p>
    <w:p w:rsidR="00010ADA" w:rsidRDefault="006902DE">
      <w:pPr>
        <w:pStyle w:val="Heading4"/>
        <w:ind w:left="0"/>
        <w:rPr>
          <w:bCs/>
        </w:rPr>
      </w:pPr>
      <w:r>
        <w:rPr>
          <w:bCs/>
        </w:rPr>
        <w:t>x.x</w:t>
      </w:r>
      <w:r>
        <w:rPr>
          <w:rFonts w:hint="eastAsia"/>
          <w:bCs/>
        </w:rPr>
        <w:t>.</w:t>
      </w:r>
      <w:r>
        <w:rPr>
          <w:bCs/>
        </w:rPr>
        <w:t>x</w:t>
      </w:r>
      <w:r>
        <w:t> </w:t>
      </w:r>
      <w:r>
        <w:rPr>
          <w:bCs/>
        </w:rPr>
        <w:t>Impact on Initial TA during random access procedure</w:t>
      </w:r>
    </w:p>
    <w:p w:rsidR="00010ADA" w:rsidRDefault="006902DE">
      <w:pPr>
        <w:pStyle w:val="Heading4"/>
        <w:ind w:left="0"/>
        <w:rPr>
          <w:bCs/>
        </w:rPr>
      </w:pPr>
      <w:r>
        <w:rPr>
          <w:bCs/>
        </w:rPr>
        <w:t>x.x</w:t>
      </w:r>
      <w:r>
        <w:rPr>
          <w:rFonts w:hint="eastAsia"/>
          <w:bCs/>
        </w:rPr>
        <w:t>.</w:t>
      </w:r>
      <w:r>
        <w:rPr>
          <w:bCs/>
        </w:rPr>
        <w:t>x.x</w:t>
      </w:r>
      <w:r>
        <w:t> </w:t>
      </w:r>
      <w:r>
        <w:rPr>
          <w:bCs/>
        </w:rPr>
        <w:t>Problem statement</w:t>
      </w:r>
    </w:p>
    <w:p w:rsidR="00010ADA" w:rsidRDefault="006902DE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In a typical NTN cell, the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distance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between base station and users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much larger than that in a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terrestrial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cell.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Furthermore, the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coverage range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of a NTN cell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can be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as large as </w:t>
      </w:r>
      <w:r>
        <w:rPr>
          <w:rFonts w:ascii="Times New Roman" w:hAnsi="Times New Roman" w:cs="Times New Roman"/>
          <w:sz w:val="20"/>
          <w:szCs w:val="20"/>
          <w:lang w:eastAsia="zh-CN"/>
        </w:rPr>
        <w:t>hundred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s of kilometers</w:t>
      </w:r>
      <w:r>
        <w:rPr>
          <w:rFonts w:ascii="Times New Roman" w:hAnsi="Times New Roman" w:cs="Times New Roman"/>
          <w:sz w:val="20"/>
          <w:szCs w:val="20"/>
          <w:lang w:eastAsia="zh-CN"/>
        </w:rPr>
        <w:t>. According the existing principle for PRACH design, 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he CP length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cp</m:t>
            </m:r>
          </m:sub>
        </m:sSub>
      </m:oMath>
      <w:r>
        <w:rPr>
          <w:rFonts w:ascii="Times New Roman" w:hAnsi="Times New Roman" w:cs="Times New Roman"/>
          <w:sz w:val="20"/>
          <w:szCs w:val="20"/>
          <w:lang w:eastAsia="zh-CN"/>
        </w:rPr>
        <w:t xml:space="preserve"> shown in 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_Ref506281827 \h  \* MERGEFORMAT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 w:cs="Times New Roman"/>
          <w:sz w:val="20"/>
          <w:szCs w:val="20"/>
          <w:lang w:eastAsia="zh-CN"/>
        </w:rPr>
        <w:t>Table 1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t>, is defined according to the maximum supportable cell radius as:</w:t>
      </w:r>
    </w:p>
    <w:p w:rsidR="00010ADA" w:rsidRDefault="006902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cp</m:t>
            </m:r>
          </m:sub>
        </m:sSub>
        <m:r>
          <w:rPr>
            <w:rFonts w:ascii="Cambria Math" w:hAnsi="Cambria Math" w:cs="Times New Roman"/>
            <w:sz w:val="20"/>
            <w:szCs w:val="20"/>
            <w:lang w:eastAsia="zh-CN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2∙</m:t>
            </m:r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D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c</m:t>
            </m:r>
          </m:den>
        </m:f>
        <m:r>
          <w:rPr>
            <w:rFonts w:ascii="Cambria Math" w:hAnsi="Cambria Math" w:cs="Times New Roman"/>
            <w:sz w:val="20"/>
            <w:szCs w:val="20"/>
            <w:lang w:eastAsia="zh-CN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DS</m:t>
            </m:r>
          </m:sub>
        </m:sSub>
      </m:oMath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</w:p>
    <w:p w:rsidR="00010ADA" w:rsidRDefault="006902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In the formula above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, D refers to propagation distance between the gNB and UE, which is approximated by </w:t>
      </w:r>
      <w:r>
        <w:rPr>
          <w:rFonts w:ascii="Times New Roman" w:hAnsi="Times New Roman" w:cs="Times New Roman"/>
          <w:sz w:val="20"/>
          <w:szCs w:val="20"/>
          <w:lang w:eastAsia="zh-CN"/>
        </w:rPr>
        <w:t>cell radius for terrestrial network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. Apparently, D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for users at cell center is assumed as zero.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c  is </m:t>
        </m:r>
      </m:oMath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speed of light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DS</m:t>
            </m:r>
          </m:sub>
        </m:sSub>
      </m:oMath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represents the delay spread of fading channels. </w:t>
      </w:r>
    </w:p>
    <w:p w:rsidR="00010ADA" w:rsidRDefault="006902DE">
      <w:pPr>
        <w:pStyle w:val="TH"/>
        <w:spacing w:before="0" w:after="0"/>
        <w:rPr>
          <w:rFonts w:ascii="Times New Roman" w:hAnsi="Times New Roman"/>
          <w:b w:val="0"/>
        </w:rPr>
      </w:pPr>
      <w:bookmarkStart w:id="2" w:name="_Ref506281827"/>
      <w:r>
        <w:rPr>
          <w:rFonts w:ascii="Times New Roman" w:hAnsi="Times New Roman"/>
          <w:b w:val="0"/>
        </w:rPr>
        <w:t xml:space="preserve">Table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SEQ Table \* ARABIC </w:instrText>
      </w:r>
      <w:r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</w:rPr>
        <w:t>1</w:t>
      </w:r>
      <w:r>
        <w:rPr>
          <w:rFonts w:ascii="Times New Roman" w:hAnsi="Times New Roman"/>
          <w:b w:val="0"/>
        </w:rPr>
        <w:fldChar w:fldCharType="end"/>
      </w:r>
      <w:bookmarkEnd w:id="2"/>
      <w:r>
        <w:rPr>
          <w:rFonts w:ascii="Times New Roman" w:hAnsi="Times New Roman"/>
          <w:b w:val="0"/>
        </w:rPr>
        <w:t xml:space="preserve"> Preamble formats for </w:t>
      </w:r>
      <w:r>
        <w:rPr>
          <w:rFonts w:ascii="Times New Roman" w:eastAsia="Batang" w:hAnsi="Times New Roman"/>
          <w:b w:val="0"/>
          <w:position w:val="-10"/>
        </w:rPr>
        <w:object w:dxaOrig="897" w:dyaOrig="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14.95pt" o:ole="">
            <v:imagedata r:id="rId9" o:title=""/>
          </v:shape>
          <o:OLEObject Type="Embed" ProgID="Equation.3" ShapeID="_x0000_i1025" DrawAspect="Content" ObjectID="_1584530124" r:id="rId10"/>
        </w:object>
      </w:r>
      <w:r>
        <w:rPr>
          <w:rFonts w:ascii="Times New Roman" w:eastAsia="Batang" w:hAnsi="Times New Roman"/>
          <w:b w:val="0"/>
        </w:rPr>
        <w:t xml:space="preserve"> and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position w:val="-10"/>
        </w:rPr>
        <w:object w:dxaOrig="1617" w:dyaOrig="353">
          <v:shape id="_x0000_i1026" type="#_x0000_t75" style="width:80.85pt;height:17.65pt" o:ole="">
            <v:imagedata r:id="rId11" o:title=""/>
          </v:shape>
          <o:OLEObject Type="Embed" ProgID="Equation.3" ShapeID="_x0000_i1026" DrawAspect="Content" ObjectID="_1584530125" r:id="rId12"/>
        </w:object>
      </w:r>
      <w:r>
        <w:rPr>
          <w:rFonts w:ascii="Times New Roman" w:hAnsi="Times New Roman"/>
          <w:b w:val="0"/>
        </w:rPr>
        <w:t xml:space="preserve"> where </w:t>
      </w:r>
      <w:r>
        <w:rPr>
          <w:rFonts w:ascii="Times New Roman" w:hAnsi="Times New Roman"/>
          <w:b w:val="0"/>
          <w:position w:val="-10"/>
        </w:rPr>
        <w:object w:dxaOrig="1019" w:dyaOrig="299">
          <v:shape id="_x0000_i1027" type="#_x0000_t75" style="width:50.95pt;height:14.95pt" o:ole="">
            <v:imagedata r:id="rId13" o:title=""/>
          </v:shape>
          <o:OLEObject Type="Embed" ProgID="Equation.3" ShapeID="_x0000_i1027" DrawAspect="Content" ObjectID="_1584530126" r:id="rId14"/>
        </w:objec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356"/>
        <w:gridCol w:w="1356"/>
        <w:gridCol w:w="1476"/>
        <w:gridCol w:w="1318"/>
        <w:gridCol w:w="1484"/>
      </w:tblGrid>
      <w:tr w:rsidR="00010ADA">
        <w:trPr>
          <w:jc w:val="center"/>
        </w:trPr>
        <w:tc>
          <w:tcPr>
            <w:tcW w:w="1296" w:type="dxa"/>
            <w:shd w:val="clear" w:color="auto" w:fill="auto"/>
          </w:tcPr>
          <w:p w:rsidR="00010ADA" w:rsidRDefault="006902DE">
            <w:pPr>
              <w:pStyle w:val="TAH"/>
              <w:rPr>
                <w:rFonts w:ascii="Times New Roman" w:eastAsia="Batang" w:hAnsi="Times New Roman"/>
                <w:sz w:val="20"/>
              </w:rPr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rPr>
                <w:rFonts w:ascii="Times New Roman" w:eastAsia="Batang" w:hAnsi="Times New Roman"/>
                <w:sz w:val="20"/>
              </w:rPr>
              <w:t>Format</w:t>
            </w:r>
          </w:p>
        </w:tc>
        <w:tc>
          <w:tcPr>
            <w:tcW w:w="1356" w:type="dxa"/>
            <w:shd w:val="clear" w:color="auto" w:fill="auto"/>
          </w:tcPr>
          <w:p w:rsidR="00010ADA" w:rsidRDefault="006902DE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10"/>
                <w:sz w:val="20"/>
              </w:rPr>
              <w:object w:dxaOrig="408" w:dyaOrig="299">
                <v:shape id="_x0000_i1028" type="#_x0000_t75" style="width:20.4pt;height:14.95pt" o:ole="">
                  <v:imagedata r:id="rId15" o:title=""/>
                </v:shape>
                <o:OLEObject Type="Embed" ProgID="Equation.3" ShapeID="_x0000_i1028" DrawAspect="Content" ObjectID="_1584530127" r:id="rId16"/>
              </w:object>
            </w:r>
          </w:p>
        </w:tc>
        <w:tc>
          <w:tcPr>
            <w:tcW w:w="1356" w:type="dxa"/>
            <w:shd w:val="clear" w:color="auto" w:fill="auto"/>
          </w:tcPr>
          <w:p w:rsidR="00010ADA" w:rsidRDefault="006902DE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0"/>
                <w:sz w:val="20"/>
              </w:rPr>
              <w:object w:dxaOrig="530" w:dyaOrig="353">
                <v:shape id="_x0000_i1029" type="#_x0000_t75" style="width:26.5pt;height:17.65pt" o:ole="">
                  <v:imagedata r:id="rId17" o:title=""/>
                </v:shape>
                <o:OLEObject Type="Embed" ProgID="Equation.3" ShapeID="_x0000_i1029" DrawAspect="Content" ObjectID="_1584530128" r:id="rId18"/>
              </w:object>
            </w:r>
          </w:p>
        </w:tc>
        <w:tc>
          <w:tcPr>
            <w:tcW w:w="1476" w:type="dxa"/>
            <w:shd w:val="clear" w:color="auto" w:fill="auto"/>
          </w:tcPr>
          <w:p w:rsidR="00010ADA" w:rsidRDefault="006902DE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0"/>
                <w:sz w:val="20"/>
              </w:rPr>
              <w:object w:dxaOrig="326" w:dyaOrig="299">
                <v:shape id="_x0000_i1030" type="#_x0000_t75" style="width:16.3pt;height:14.95pt" o:ole="">
                  <v:imagedata r:id="rId19" o:title=""/>
                </v:shape>
                <o:OLEObject Type="Embed" ProgID="Equation.3" ShapeID="_x0000_i1030" DrawAspect="Content" ObjectID="_1584530129" r:id="rId20"/>
              </w:object>
            </w:r>
          </w:p>
        </w:tc>
        <w:tc>
          <w:tcPr>
            <w:tcW w:w="1318" w:type="dxa"/>
            <w:shd w:val="clear" w:color="auto" w:fill="auto"/>
          </w:tcPr>
          <w:p w:rsidR="00010ADA" w:rsidRDefault="006902DE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0"/>
                <w:sz w:val="20"/>
              </w:rPr>
              <w:object w:dxaOrig="462" w:dyaOrig="353">
                <v:shape id="_x0000_i1031" type="#_x0000_t75" style="width:23.1pt;height:17.65pt" o:ole="">
                  <v:imagedata r:id="rId21" o:title=""/>
                </v:shape>
                <o:OLEObject Type="Embed" ProgID="Equation.3" ShapeID="_x0000_i1031" DrawAspect="Content" ObjectID="_1584530130" r:id="rId22"/>
              </w:object>
            </w:r>
          </w:p>
        </w:tc>
        <w:tc>
          <w:tcPr>
            <w:tcW w:w="1484" w:type="dxa"/>
          </w:tcPr>
          <w:p w:rsidR="00010ADA" w:rsidRDefault="006902DE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Support for restricted sets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010ADA">
            <w:pPr>
              <w:pStyle w:val="TAC"/>
              <w:rPr>
                <w:rFonts w:ascii="Times New Roman" w:eastAsia="Batang" w:hAnsi="Times New Roman"/>
                <w:sz w:val="20"/>
              </w:rPr>
            </w:pPr>
            <w:bookmarkStart w:id="3" w:name="_Hlk494194986"/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010ADA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010ADA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010ADA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010ADA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</w:p>
        </w:tc>
        <w:tc>
          <w:tcPr>
            <w:tcW w:w="1484" w:type="dxa"/>
            <w:vAlign w:val="center"/>
          </w:tcPr>
          <w:p w:rsidR="00010ADA" w:rsidRDefault="00010ADA">
            <w:pPr>
              <w:pStyle w:val="TAC"/>
              <w:rPr>
                <w:rFonts w:ascii="Times New Roman" w:eastAsia="Batang" w:hAnsi="Times New Roman"/>
                <w:sz w:val="20"/>
              </w:rPr>
            </w:pP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A1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32" type="#_x0000_t75" style="width:48.25pt;height:14.95pt" o:ole="">
                  <v:imagedata r:id="rId23" o:title=""/>
                </v:shape>
                <o:OLEObject Type="Embed" ProgID="Equation.3" ShapeID="_x0000_i1032" DrawAspect="Content" ObjectID="_1584530131" r:id="rId2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09" w:dyaOrig="299">
                <v:shape id="_x0000_i1033" type="#_x0000_t75" style="width:60.45pt;height:14.95pt" o:ole="">
                  <v:imagedata r:id="rId25" o:title=""/>
                </v:shape>
                <o:OLEObject Type="Embed" ProgID="Equation.3" ShapeID="_x0000_i1033" DrawAspect="Content" ObjectID="_1584530132" r:id="rId2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97" w:dyaOrig="299">
                <v:shape id="_x0000_i1034" type="#_x0000_t75" style="width:44.85pt;height:14.95pt" o:ole="">
                  <v:imagedata r:id="rId27" o:title=""/>
                </v:shape>
                <o:OLEObject Type="Embed" ProgID="Equation.3" ShapeID="_x0000_i1034" DrawAspect="Content" ObjectID="_1584530133" r:id="rId28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A2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35" type="#_x0000_t75" style="width:48.25pt;height:14.95pt" o:ole="">
                  <v:imagedata r:id="rId23" o:title=""/>
                </v:shape>
                <o:OLEObject Type="Embed" ProgID="Equation.3" ShapeID="_x0000_i1035" DrawAspect="Content" ObjectID="_1584530134" r:id="rId2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09" w:dyaOrig="299">
                <v:shape id="_x0000_i1036" type="#_x0000_t75" style="width:60.45pt;height:14.95pt" o:ole="">
                  <v:imagedata r:id="rId30" o:title=""/>
                </v:shape>
                <o:OLEObject Type="Embed" ProgID="Equation.3" ShapeID="_x0000_i1036" DrawAspect="Content" ObjectID="_1584530135" r:id="rId3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69" w:dyaOrig="299">
                <v:shape id="_x0000_i1037" type="#_x0000_t75" style="width:43.45pt;height:14.95pt" o:ole="">
                  <v:imagedata r:id="rId32" o:title=""/>
                </v:shape>
                <o:OLEObject Type="Embed" ProgID="Equation.3" ShapeID="_x0000_i1037" DrawAspect="Content" ObjectID="_1584530136" r:id="rId33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A3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38" type="#_x0000_t75" style="width:48.25pt;height:14.95pt" o:ole="">
                  <v:imagedata r:id="rId23" o:title=""/>
                </v:shape>
                <o:OLEObject Type="Embed" ProgID="Equation.3" ShapeID="_x0000_i1038" DrawAspect="Content" ObjectID="_1584530137" r:id="rId3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168" w:dyaOrig="299">
                <v:shape id="_x0000_i1039" type="#_x0000_t75" style="width:58.4pt;height:14.95pt" o:ole="">
                  <v:imagedata r:id="rId35" o:title=""/>
                </v:shape>
                <o:OLEObject Type="Embed" ProgID="Equation.3" ShapeID="_x0000_i1039" DrawAspect="Content" ObjectID="_1584530138" r:id="rId3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69" w:dyaOrig="299">
                <v:shape id="_x0000_i1040" type="#_x0000_t75" style="width:43.45pt;height:14.95pt" o:ole="">
                  <v:imagedata r:id="rId37" o:title=""/>
                </v:shape>
                <o:OLEObject Type="Embed" ProgID="Equation.3" ShapeID="_x0000_i1040" DrawAspect="Content" ObjectID="_1584530139" r:id="rId38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B1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41" type="#_x0000_t75" style="width:48.25pt;height:14.95pt" o:ole="">
                  <v:imagedata r:id="rId23" o:title=""/>
                </v:shape>
                <o:OLEObject Type="Embed" ProgID="Equation.3" ShapeID="_x0000_i1041" DrawAspect="Content" ObjectID="_1584530140" r:id="rId3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09" w:dyaOrig="299">
                <v:shape id="_x0000_i1042" type="#_x0000_t75" style="width:60.45pt;height:14.95pt" o:ole="">
                  <v:imagedata r:id="rId40" o:title=""/>
                </v:shape>
                <o:OLEObject Type="Embed" ProgID="Equation.3" ShapeID="_x0000_i1042" DrawAspect="Content" ObjectID="_1584530141" r:id="rId4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97" w:dyaOrig="299">
                <v:shape id="_x0000_i1043" type="#_x0000_t75" style="width:44.85pt;height:14.95pt" o:ole="">
                  <v:imagedata r:id="rId42" o:title=""/>
                </v:shape>
                <o:OLEObject Type="Embed" ProgID="Equation.3" ShapeID="_x0000_i1043" DrawAspect="Content" ObjectID="_1584530142" r:id="rId43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B2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44" type="#_x0000_t75" style="width:48.25pt;height:14.95pt" o:ole="">
                  <v:imagedata r:id="rId23" o:title=""/>
                </v:shape>
                <o:OLEObject Type="Embed" ProgID="Equation.3" ShapeID="_x0000_i1044" DrawAspect="Content" ObjectID="_1584530143" r:id="rId4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09" w:dyaOrig="299">
                <v:shape id="_x0000_i1045" type="#_x0000_t75" style="width:60.45pt;height:14.95pt" o:ole="">
                  <v:imagedata r:id="rId45" o:title=""/>
                </v:shape>
                <o:OLEObject Type="Embed" ProgID="Equation.3" ShapeID="_x0000_i1045" DrawAspect="Content" ObjectID="_1584530144" r:id="rId4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69" w:dyaOrig="299">
                <v:shape id="_x0000_i1046" type="#_x0000_t75" style="width:43.45pt;height:14.95pt" o:ole="">
                  <v:imagedata r:id="rId47" o:title=""/>
                </v:shape>
                <o:OLEObject Type="Embed" ProgID="Equation.3" ShapeID="_x0000_i1046" DrawAspect="Content" ObjectID="_1584530145" r:id="rId48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B3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47" type="#_x0000_t75" style="width:48.25pt;height:14.95pt" o:ole="">
                  <v:imagedata r:id="rId23" o:title=""/>
                </v:shape>
                <o:OLEObject Type="Embed" ProgID="Equation.3" ShapeID="_x0000_i1047" DrawAspect="Content" ObjectID="_1584530146" r:id="rId4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168" w:dyaOrig="299">
                <v:shape id="_x0000_i1048" type="#_x0000_t75" style="width:58.4pt;height:14.95pt" o:ole="">
                  <v:imagedata r:id="rId50" o:title=""/>
                </v:shape>
                <o:OLEObject Type="Embed" ProgID="Equation.3" ShapeID="_x0000_i1048" DrawAspect="Content" ObjectID="_1584530147" r:id="rId5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69" w:dyaOrig="299">
                <v:shape id="_x0000_i1049" type="#_x0000_t75" style="width:43.45pt;height:14.95pt" o:ole="">
                  <v:imagedata r:id="rId52" o:title=""/>
                </v:shape>
                <o:OLEObject Type="Embed" ProgID="Equation.3" ShapeID="_x0000_i1049" DrawAspect="Content" ObjectID="_1584530148" r:id="rId53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B4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50" type="#_x0000_t75" style="width:48.25pt;height:14.95pt" o:ole="">
                  <v:imagedata r:id="rId23" o:title=""/>
                </v:shape>
                <o:OLEObject Type="Embed" ProgID="Equation.3" ShapeID="_x0000_i1050" DrawAspect="Content" ObjectID="_1584530149" r:id="rId5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63" w:dyaOrig="299">
                <v:shape id="_x0000_i1051" type="#_x0000_t75" style="width:63.15pt;height:14.95pt" o:ole="">
                  <v:imagedata r:id="rId55" o:title=""/>
                </v:shape>
                <o:OLEObject Type="Embed" ProgID="Equation.3" ShapeID="_x0000_i1051" DrawAspect="Content" ObjectID="_1584530150" r:id="rId5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869" w:dyaOrig="299">
                <v:shape id="_x0000_i1052" type="#_x0000_t75" style="width:43.45pt;height:14.95pt" o:ole="">
                  <v:imagedata r:id="rId57" o:title=""/>
                </v:shape>
                <o:OLEObject Type="Embed" ProgID="Equation.3" ShapeID="_x0000_i1052" DrawAspect="Content" ObjectID="_1584530151" r:id="rId58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C0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53" type="#_x0000_t75" style="width:48.25pt;height:14.95pt" o:ole="">
                  <v:imagedata r:id="rId23" o:title=""/>
                </v:shape>
                <o:OLEObject Type="Embed" ProgID="Equation.3" ShapeID="_x0000_i1053" DrawAspect="Content" ObjectID="_1584530152" r:id="rId5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005" w:dyaOrig="299">
                <v:shape id="_x0000_i1054" type="#_x0000_t75" style="width:50.25pt;height:14.95pt" o:ole="">
                  <v:imagedata r:id="rId60" o:title=""/>
                </v:shape>
                <o:OLEObject Type="Embed" ProgID="Equation.3" ShapeID="_x0000_i1054" DrawAspect="Content" ObjectID="_1584530153" r:id="rId6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978" w:dyaOrig="299">
                <v:shape id="_x0000_i1055" type="#_x0000_t75" style="width:48.9pt;height:14.95pt" o:ole="">
                  <v:imagedata r:id="rId62" o:title=""/>
                </v:shape>
                <o:OLEObject Type="Embed" ProgID="Equation.3" ShapeID="_x0000_i1055" DrawAspect="Content" ObjectID="_1584530154" r:id="rId63"/>
              </w:object>
            </w:r>
          </w:p>
        </w:tc>
        <w:tc>
          <w:tcPr>
            <w:tcW w:w="1484" w:type="dxa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-</w:t>
            </w:r>
          </w:p>
        </w:tc>
      </w:tr>
      <w:tr w:rsidR="00010ADA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010ADA" w:rsidRDefault="006902DE">
            <w:pPr>
              <w:pStyle w:val="TAC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C2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sz w:val="20"/>
              </w:rPr>
              <w:t>139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965" w:dyaOrig="299">
                <v:shape id="_x0000_i1056" type="#_x0000_t75" style="width:48.25pt;height:14.95pt" o:ole="">
                  <v:imagedata r:id="rId23" o:title=""/>
                </v:shape>
                <o:OLEObject Type="Embed" ProgID="Equation.3" ShapeID="_x0000_i1056" DrawAspect="Content" ObjectID="_1584530155" r:id="rId6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209" w:dyaOrig="299">
                <v:shape id="_x0000_i1057" type="#_x0000_t75" style="width:60.45pt;height:14.95pt" o:ole="">
                  <v:imagedata r:id="rId30" o:title=""/>
                </v:shape>
                <o:OLEObject Type="Embed" ProgID="Equation.3" ShapeID="_x0000_i1057" DrawAspect="Content" ObjectID="_1584530156" r:id="rId65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10ADA" w:rsidRDefault="006902DE">
            <w:pPr>
              <w:pStyle w:val="TAR"/>
              <w:jc w:val="center"/>
              <w:rPr>
                <w:rFonts w:ascii="Times New Roman" w:eastAsia="Batang" w:hAnsi="Times New Roman"/>
                <w:sz w:val="20"/>
              </w:rPr>
            </w:pPr>
            <w:r>
              <w:rPr>
                <w:rFonts w:ascii="Times New Roman" w:eastAsia="Batang" w:hAnsi="Times New Roman"/>
                <w:position w:val="-6"/>
                <w:sz w:val="20"/>
              </w:rPr>
              <w:object w:dxaOrig="1005" w:dyaOrig="299">
                <v:shape id="_x0000_i1058" type="#_x0000_t75" style="width:50.25pt;height:14.95pt" o:ole="">
                  <v:imagedata r:id="rId66" o:title=""/>
                </v:shape>
                <o:OLEObject Type="Embed" ProgID="Equation.3" ShapeID="_x0000_i1058" DrawAspect="Content" ObjectID="_1584530157" r:id="rId67"/>
              </w:object>
            </w:r>
          </w:p>
        </w:tc>
        <w:tc>
          <w:tcPr>
            <w:tcW w:w="1484" w:type="dxa"/>
            <w:vAlign w:val="center"/>
          </w:tcPr>
          <w:p w:rsidR="00010ADA" w:rsidRDefault="00010ADA">
            <w:pPr>
              <w:pStyle w:val="TAC"/>
              <w:rPr>
                <w:rFonts w:ascii="Times New Roman" w:eastAsia="Batang" w:hAnsi="Times New Roman"/>
                <w:sz w:val="20"/>
              </w:rPr>
            </w:pPr>
          </w:p>
        </w:tc>
      </w:tr>
      <w:bookmarkEnd w:id="3"/>
    </w:tbl>
    <w:p w:rsidR="00010ADA" w:rsidRDefault="00010A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10ADA" w:rsidRDefault="006902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However, in a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non-terrestrial network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, the absolute propagation delay of every user is large due to the distance between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high altitude base stations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and users (on the ground or even on aircraft), which is shown in 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_Ref506284456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Figure 1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In this case, if the CP length in NTN PRACH is still defined according to absolute propagation delay, the CP overhead would be unreasonably high.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For example,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minimum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CP length for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 LEO with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1000km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orbital altitude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is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approximately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calculated as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RACH</m:t>
            </m:r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CP</m:t>
            </m:r>
          </m:sub>
        </m:sSub>
        <m:r>
          <w:rPr>
            <w:rFonts w:ascii="Cambria Math" w:hAnsi="Cambria Math" w:cs="Times New Roman"/>
            <w:sz w:val="20"/>
            <w:szCs w:val="20"/>
            <w:lang w:eastAsia="zh-CN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2×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6</m:t>
                </m:r>
              </m:sup>
            </m:sSup>
          </m:num>
          <m:den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C</m:t>
            </m:r>
          </m:den>
        </m:f>
        <m:r>
          <w:rPr>
            <w:rFonts w:ascii="Cambria Math" w:hAnsi="Cambria Math" w:cs="Times New Roman"/>
            <w:sz w:val="20"/>
            <w:szCs w:val="20"/>
            <w:lang w:eastAsia="zh-CN"/>
          </w:rPr>
          <m:t xml:space="preserve">≈6.67 </m:t>
        </m:r>
        <m:r>
          <w:rPr>
            <w:rFonts w:ascii="Cambria Math" w:hAnsi="Cambria Math" w:cs="Times New Roman"/>
            <w:sz w:val="20"/>
            <w:szCs w:val="20"/>
            <w:lang w:eastAsia="zh-CN"/>
          </w:rPr>
          <m:t>ms</m:t>
        </m:r>
        <m:r>
          <w:rPr>
            <w:rFonts w:ascii="Cambria Math" w:hAnsi="Cambria Math" w:cs="Times New Roman"/>
            <w:sz w:val="20"/>
            <w:szCs w:val="20"/>
            <w:lang w:eastAsia="zh-CN"/>
          </w:rPr>
          <m:t>.</m:t>
        </m:r>
      </m:oMath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PRACH symbol length corresponding to subcarrier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lastRenderedPageBreak/>
        <w:t xml:space="preserve">space of </w:t>
      </w:r>
      <w:r>
        <w:rPr>
          <w:rFonts w:ascii="Times New Roman" w:hAnsi="Times New Roman" w:cs="Times New Roman"/>
          <w:sz w:val="20"/>
          <w:szCs w:val="20"/>
          <w:lang w:eastAsia="zh-CN"/>
        </w:rPr>
        <w:t>1.25 kHz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is </w:t>
      </w:r>
      <w:r>
        <w:rPr>
          <w:rFonts w:ascii="Times New Roman" w:hAnsi="Times New Roman" w:cs="Times New Roman"/>
          <w:sz w:val="20"/>
          <w:szCs w:val="20"/>
          <w:lang w:eastAsia="zh-CN"/>
        </w:rPr>
        <w:t>0.8ms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only. The resultant CP length is more than 8 times of the symbol length, which means a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significant waste of random </w:t>
      </w:r>
      <w:r>
        <w:rPr>
          <w:rFonts w:ascii="Times New Roman" w:hAnsi="Times New Roman" w:cs="Times New Roman"/>
          <w:sz w:val="20"/>
          <w:szCs w:val="20"/>
          <w:lang w:eastAsia="zh-CN"/>
        </w:rPr>
        <w:t>access resource.</w:t>
      </w:r>
    </w:p>
    <w:p w:rsidR="00010ADA" w:rsidRDefault="00010A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10ADA" w:rsidRDefault="006902D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According to the analysis above, the existing design of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NR PRACH </w:t>
      </w:r>
      <w:r>
        <w:rPr>
          <w:rFonts w:ascii="Times New Roman" w:hAnsi="Times New Roman" w:cs="Times New Roman"/>
          <w:sz w:val="20"/>
          <w:szCs w:val="20"/>
          <w:lang w:eastAsia="zh-CN"/>
        </w:rPr>
        <w:t>cannot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be reused directly.</w:t>
      </w:r>
    </w:p>
    <w:p w:rsidR="00010ADA" w:rsidRDefault="006902DE">
      <w:pPr>
        <w:pStyle w:val="Heading4"/>
        <w:ind w:left="0"/>
      </w:pPr>
      <w:r>
        <w:t>x.x.x.x Solution principles</w:t>
      </w:r>
    </w:p>
    <w:p w:rsidR="00010ADA" w:rsidRDefault="006902D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As shown in 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_Ref506284456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Figure 1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t>, compen</w:t>
      </w:r>
      <w:r>
        <w:rPr>
          <w:rFonts w:ascii="Times New Roman" w:hAnsi="Times New Roman" w:cs="Times New Roman"/>
          <w:sz w:val="20"/>
          <w:szCs w:val="20"/>
          <w:lang w:eastAsia="zh-CN"/>
        </w:rPr>
        <w:t>sat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ion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of </w:t>
      </w:r>
      <w:r>
        <w:rPr>
          <w:rFonts w:ascii="Times New Roman" w:hAnsi="Times New Roman" w:cs="Times New Roman"/>
          <w:sz w:val="20"/>
          <w:szCs w:val="20"/>
          <w:lang w:eastAsia="zh-CN"/>
        </w:rPr>
        <w:t>common distance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(i.e.,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)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with an initial TA during random access procedure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can be considered as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eastAsia="zh-CN"/>
        </w:rPr>
        <w:t>promising solution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since the coverage for each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NTN gNB (</w:t>
      </w:r>
      <w:r>
        <w:rPr>
          <w:rFonts w:ascii="Times New Roman" w:hAnsi="Times New Roman" w:cs="Times New Roman"/>
          <w:sz w:val="20"/>
          <w:szCs w:val="20"/>
          <w:lang w:eastAsia="zh-CN"/>
        </w:rPr>
        <w:t>i.e., satellite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relative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ly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stable with pre-defined orbit. It can be observed that a common part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is shared by both cell center and cell edge users. Once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coverage area and beam direction is fixed,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common part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position w:val="-10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derivable </w:t>
      </w:r>
      <w:r>
        <w:rPr>
          <w:rFonts w:ascii="Times New Roman" w:hAnsi="Times New Roman" w:cs="Times New Roman"/>
          <w:sz w:val="20"/>
          <w:szCs w:val="20"/>
          <w:lang w:eastAsia="zh-CN"/>
        </w:rPr>
        <w:t>for a given NTN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gNB</w:t>
      </w:r>
      <w:r>
        <w:rPr>
          <w:rFonts w:ascii="Times New Roman" w:hAnsi="Times New Roman" w:cs="Times New Roman"/>
          <w:sz w:val="20"/>
          <w:szCs w:val="20"/>
          <w:lang w:eastAsia="zh-CN"/>
        </w:rPr>
        <w:t>. The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refore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</m:oMath>
      <w:r>
        <w:rPr>
          <w:rFonts w:ascii="Cambria Math" w:hAnsi="Cambria Math" w:cs="Times New Roman" w:hint="eastAsia"/>
          <w:sz w:val="20"/>
          <w:szCs w:val="20"/>
          <w:lang w:eastAsia="zh-CN"/>
        </w:rPr>
        <w:t>can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be treate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d as a known parameter within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corresponding </w:t>
      </w:r>
      <w:r>
        <w:rPr>
          <w:rFonts w:ascii="Times New Roman" w:hAnsi="Times New Roman" w:cs="Times New Roman"/>
          <w:sz w:val="20"/>
          <w:szCs w:val="20"/>
          <w:lang w:eastAsia="zh-CN"/>
        </w:rPr>
        <w:t>coverage, e.g., via broadcast signaling. Each user adjust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its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initial TA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to compensate the common propagation delay due to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</m:oMath>
      <w:r>
        <w:rPr>
          <w:rFonts w:ascii="Times New Roman" w:hAnsi="Times New Roman" w:cs="Times New Roman"/>
          <w:sz w:val="20"/>
          <w:szCs w:val="20"/>
          <w:lang w:eastAsia="zh-CN"/>
        </w:rPr>
        <w:t xml:space="preserve">.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NTN P</w:t>
      </w:r>
      <w:r>
        <w:rPr>
          <w:rFonts w:ascii="Times New Roman" w:hAnsi="Times New Roman" w:cs="Times New Roman"/>
          <w:sz w:val="20"/>
          <w:szCs w:val="20"/>
          <w:lang w:eastAsia="zh-CN"/>
        </w:rPr>
        <w:t>RACH signal design only depend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on the relative propagation delay proportional to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1</m:t>
            </m:r>
          </m:sub>
        </m:sSub>
      </m:oMath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:rsidR="00010ADA" w:rsidRDefault="006902DE">
      <w:pPr>
        <w:keepNext/>
        <w:spacing w:after="0" w:line="240" w:lineRule="auto"/>
        <w:jc w:val="center"/>
      </w:pPr>
      <w:r>
        <w:rPr>
          <w:rFonts w:ascii="Times New Roman" w:hAnsi="Times New Roman" w:cs="Times New Roman"/>
          <w:noProof/>
          <w:sz w:val="20"/>
          <w:szCs w:val="20"/>
          <w:lang w:eastAsia="zh-CN"/>
        </w:rPr>
        <w:drawing>
          <wp:inline distT="0" distB="0" distL="114300" distR="114300">
            <wp:extent cx="2899410" cy="1591310"/>
            <wp:effectExtent l="0" t="0" r="15240" b="8890"/>
            <wp:docPr id="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899410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10ADA" w:rsidRDefault="006902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Ref506284456"/>
      <w:r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Illustration of common distance of cell edge/center in NTN</w:t>
      </w:r>
    </w:p>
    <w:p w:rsidR="00010ADA" w:rsidRDefault="006902DE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Though the common propagation delay proporti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onal to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can be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compensated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in initial TA per </w:t>
      </w:r>
      <w:r>
        <w:rPr>
          <w:rFonts w:ascii="Times New Roman" w:hAnsi="Times New Roman" w:cs="Times New Roman"/>
          <w:sz w:val="20"/>
          <w:szCs w:val="20"/>
          <w:lang w:eastAsia="zh-CN"/>
        </w:rPr>
        <w:t>user, the rel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ative propagation delay proportional to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1</m:t>
            </m:r>
          </m:sub>
        </m:sSub>
      </m:oMath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is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still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quite </w:t>
      </w:r>
      <w:r>
        <w:rPr>
          <w:rFonts w:ascii="Times New Roman" w:hAnsi="Times New Roman" w:cs="Times New Roman"/>
          <w:sz w:val="20"/>
          <w:szCs w:val="20"/>
          <w:lang w:eastAsia="zh-CN"/>
        </w:rPr>
        <w:t>large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. A </w:t>
      </w:r>
      <w:r>
        <w:rPr>
          <w:rFonts w:ascii="Times New Roman" w:hAnsi="Times New Roman" w:cs="Times New Roman"/>
          <w:sz w:val="20"/>
          <w:szCs w:val="20"/>
          <w:lang w:eastAsia="zh-CN"/>
        </w:rPr>
        <w:t>typical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1</m:t>
            </m:r>
          </m:sub>
        </m:sSub>
      </m:oMath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, which is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range difference between slant and nadir, can be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thousands of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kilometers. As a result, a very long CP is still needed. To get rid of this undesirable long CP, 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NTN PRACH signal structure with symbol repetition is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given below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:rsidR="00010ADA" w:rsidRDefault="006902DE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A time window of length 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652" w:dyaOrig="380">
          <v:shape id="_x0000_i1059" type="#_x0000_t75" style="width:32.6pt;height:19pt" o:ole="">
            <v:imagedata r:id="rId69" o:title=""/>
          </v:shape>
          <o:OLEObject Type="Embed" ProgID="Equation.3" ShapeID="_x0000_i1059" DrawAspect="Content" ObjectID="_1584530158" r:id="rId70"/>
        </w:object>
      </w:r>
      <w:r>
        <w:rPr>
          <w:rFonts w:ascii="Times New Roman" w:eastAsia="宋体" w:hAnsi="Times New Roman" w:cs="Times New Roman" w:hint="eastAsia"/>
          <w:position w:val="-14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divided into detection windows of length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897" w:dyaOrig="380">
          <v:shape id="_x0000_i1060" type="#_x0000_t75" style="width:44.85pt;height:19pt" o:ole="">
            <v:imagedata r:id="rId71" o:title=""/>
          </v:shape>
          <o:OLEObject Type="Embed" ProgID="Equation.3" ShapeID="_x0000_i1060" DrawAspect="Content" ObjectID="_1584530159" r:id="rId72"/>
        </w:object>
      </w:r>
      <w:r>
        <w:rPr>
          <w:rFonts w:ascii="Times New Roman" w:hAnsi="Times New Roman" w:cs="Times New Roman"/>
          <w:sz w:val="20"/>
          <w:szCs w:val="20"/>
          <w:lang w:eastAsia="zh-CN"/>
        </w:rPr>
        <w:t>. Without loss of generality, let’s assume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2785" w:dyaOrig="380">
          <v:shape id="_x0000_i1061" type="#_x0000_t75" style="width:139.25pt;height:19pt" o:ole="">
            <v:imagedata r:id="rId73" o:title=""/>
          </v:shape>
          <o:OLEObject Type="Embed" ProgID="Equation.3" ShapeID="_x0000_i1061" DrawAspect="Content" ObjectID="_1584530160" r:id="rId74"/>
        </w:object>
      </w:r>
      <w:r>
        <w:rPr>
          <w:rFonts w:ascii="Times New Roman" w:hAnsi="Times New Roman" w:cs="Times New Roman"/>
          <w:sz w:val="20"/>
          <w:szCs w:val="20"/>
          <w:lang w:eastAsia="zh-CN"/>
        </w:rPr>
        <w:t>. An example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illustrated in 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_Ref506298276 \h  \* MERGEFORMAT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>
        <w:rPr>
          <w:rFonts w:ascii="Times New Roman" w:hAnsi="Times New Roman" w:cs="Times New Roman"/>
          <w:sz w:val="20"/>
          <w:szCs w:val="20"/>
          <w:lang w:eastAsia="zh-CN"/>
        </w:rPr>
        <w:t>Figure 2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t>, where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2065" w:dyaOrig="380">
          <v:shape id="_x0000_i1062" type="#_x0000_t75" style="width:103.25pt;height:19pt" o:ole="">
            <v:imagedata r:id="rId75" o:title=""/>
          </v:shape>
          <o:OLEObject Type="Embed" ProgID="Equation.3" ShapeID="_x0000_i1062" DrawAspect="Content" ObjectID="_1584530161" r:id="rId76"/>
        </w:objec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, and each PRACH signal consists of 2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repeated </w:t>
      </w:r>
      <w:r>
        <w:rPr>
          <w:rFonts w:ascii="Times New Roman" w:hAnsi="Times New Roman" w:cs="Times New Roman"/>
          <w:sz w:val="20"/>
          <w:szCs w:val="20"/>
          <w:lang w:eastAsia="zh-CN"/>
        </w:rPr>
        <w:t>symbols (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with </w:t>
      </w:r>
      <w:r>
        <w:rPr>
          <w:rFonts w:ascii="Times New Roman" w:hAnsi="Times New Roman" w:cs="Times New Roman"/>
          <w:sz w:val="20"/>
          <w:szCs w:val="20"/>
          <w:lang w:eastAsia="zh-CN"/>
        </w:rPr>
        <w:t>total length of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1141" w:dyaOrig="380">
          <v:shape id="_x0000_i1063" type="#_x0000_t75" style="width:57.05pt;height:19pt" o:ole="">
            <v:imagedata r:id="rId77" o:title=""/>
          </v:shape>
          <o:OLEObject Type="Embed" ProgID="Equation.3" ShapeID="_x0000_i1063" DrawAspect="Content" ObjectID="_1584530162" r:id="rId78"/>
        </w:objec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).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f a PRACH signal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</w:t>
      </w:r>
      <w:r>
        <w:rPr>
          <w:rFonts w:ascii="Times New Roman" w:hAnsi="Times New Roman" w:cs="Times New Roman"/>
          <w:sz w:val="20"/>
          <w:szCs w:val="20"/>
          <w:lang w:eastAsia="zh-CN"/>
        </w:rPr>
        <w:t>transmitted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at least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one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fully occupied detection window of length </w:t>
      </w:r>
      <w:r>
        <w:rPr>
          <w:rFonts w:ascii="Times New Roman" w:eastAsia="Batang" w:hAnsi="Times New Roman" w:cs="Times New Roman"/>
          <w:position w:val="-14"/>
          <w:sz w:val="20"/>
          <w:szCs w:val="20"/>
        </w:rPr>
        <w:object w:dxaOrig="897" w:dyaOrig="380">
          <v:shape id="_x0000_i1064" type="#_x0000_t75" style="width:44.85pt;height:19pt" o:ole="">
            <v:imagedata r:id="rId71" o:title=""/>
          </v:shape>
          <o:OLEObject Type="Embed" ProgID="Equation.3" ShapeID="_x0000_i1064" DrawAspect="Content" ObjectID="_1584530163" r:id="rId79"/>
        </w:objec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is guaranteed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With this PRACH signal design, the TA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of a given user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divided into two parts. The coarse TA can </w:t>
      </w:r>
      <w:r>
        <w:rPr>
          <w:rFonts w:ascii="Times New Roman" w:hAnsi="Times New Roman" w:cs="Times New Roman"/>
          <w:sz w:val="20"/>
          <w:szCs w:val="20"/>
          <w:lang w:eastAsia="zh-CN"/>
        </w:rPr>
        <w:t>be estimated by the dete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ction window index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(in time domain),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fractional TA can be estimated by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correlation inside the detection window.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Furthermore,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the repetition number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is configurable a</w:t>
      </w:r>
      <w:r>
        <w:rPr>
          <w:rFonts w:ascii="Times New Roman" w:hAnsi="Times New Roman" w:cs="Times New Roman"/>
          <w:sz w:val="20"/>
          <w:szCs w:val="20"/>
          <w:lang w:eastAsia="zh-CN"/>
        </w:rPr>
        <w:t>ccording to link budget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.</w:t>
      </w:r>
    </w:p>
    <w:p w:rsidR="00010ADA" w:rsidRDefault="006902DE">
      <w:pPr>
        <w:pStyle w:val="ListParagraph1"/>
        <w:keepNext/>
        <w:adjustRightInd w:val="0"/>
        <w:snapToGrid w:val="0"/>
        <w:spacing w:after="0" w:line="240" w:lineRule="auto"/>
        <w:ind w:left="0"/>
        <w:contextualSpacing w:val="0"/>
        <w:jc w:val="center"/>
      </w:pPr>
      <w:r>
        <w:rPr>
          <w:rFonts w:ascii="Times New Roman" w:hAnsi="Times New Roman" w:cs="Times New Roman"/>
          <w:noProof/>
          <w:sz w:val="20"/>
          <w:szCs w:val="20"/>
          <w:lang w:eastAsia="zh-CN"/>
        </w:rPr>
        <w:drawing>
          <wp:inline distT="0" distB="0" distL="114300" distR="114300">
            <wp:extent cx="4184015" cy="1779905"/>
            <wp:effectExtent l="0" t="0" r="6985" b="10795"/>
            <wp:docPr id="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184015" cy="177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10ADA" w:rsidRDefault="006902DE">
      <w:pPr>
        <w:pStyle w:val="Caption"/>
        <w:rPr>
          <w:b w:val="0"/>
          <w:lang w:val="en-US"/>
        </w:rPr>
      </w:pPr>
      <w:bookmarkStart w:id="5" w:name="_Ref506298276"/>
      <w:r>
        <w:rPr>
          <w:b w:val="0"/>
        </w:rPr>
        <w:t xml:space="preserve">Figure </w:t>
      </w:r>
      <w:r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>
        <w:rPr>
          <w:b w:val="0"/>
        </w:rPr>
        <w:fldChar w:fldCharType="separate"/>
      </w:r>
      <w:r>
        <w:rPr>
          <w:b w:val="0"/>
        </w:rPr>
        <w:t>2</w:t>
      </w:r>
      <w:r>
        <w:rPr>
          <w:b w:val="0"/>
        </w:rPr>
        <w:fldChar w:fldCharType="end"/>
      </w:r>
      <w:bookmarkEnd w:id="5"/>
      <w:r>
        <w:rPr>
          <w:b w:val="0"/>
        </w:rPr>
        <w:t xml:space="preserve"> </w:t>
      </w:r>
      <w:r>
        <w:rPr>
          <w:b w:val="0"/>
          <w:lang w:val="en-US"/>
        </w:rPr>
        <w:t xml:space="preserve">Illustration of NTN </w:t>
      </w:r>
      <w:r>
        <w:rPr>
          <w:rFonts w:hint="eastAsia"/>
          <w:b w:val="0"/>
          <w:lang w:val="en-US"/>
        </w:rPr>
        <w:t>P</w:t>
      </w:r>
      <w:r>
        <w:rPr>
          <w:b w:val="0"/>
          <w:lang w:val="en-US"/>
        </w:rPr>
        <w:t>RACH time window and signal</w:t>
      </w:r>
    </w:p>
    <w:p w:rsidR="00010ADA" w:rsidRDefault="006902DE">
      <w:pPr>
        <w:pStyle w:val="Heading4"/>
        <w:ind w:left="0"/>
      </w:pPr>
      <w:r>
        <w:lastRenderedPageBreak/>
        <w:t>x.x.x.x NR protocol impacts</w:t>
      </w:r>
    </w:p>
    <w:p w:rsidR="00010ADA" w:rsidRDefault="006902D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To accommodate the </w:t>
      </w:r>
      <w:r>
        <w:rPr>
          <w:rFonts w:ascii="Times New Roman" w:hAnsi="Times New Roman" w:cs="Times New Roman" w:hint="eastAsia"/>
          <w:bCs/>
          <w:sz w:val="20"/>
          <w:szCs w:val="20"/>
          <w:lang w:eastAsia="zh-CN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 xml:space="preserve">nitial TA 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(time advance) </w:t>
      </w:r>
      <w:r>
        <w:rPr>
          <w:rFonts w:ascii="Times New Roman" w:hAnsi="Times New Roman" w:cs="Times New Roman"/>
          <w:bCs/>
          <w:sz w:val="20"/>
          <w:szCs w:val="20"/>
        </w:rPr>
        <w:t>during random access procedure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eastAsia="zh-CN"/>
        </w:rPr>
        <w:t xml:space="preserve"> and possible random access signal format</w:t>
      </w:r>
      <w:r>
        <w:rPr>
          <w:rFonts w:ascii="Times New Roman" w:eastAsia="宋体" w:hAnsi="Times New Roman" w:cs="Times New Roman"/>
          <w:bCs/>
          <w:sz w:val="20"/>
          <w:szCs w:val="20"/>
          <w:lang w:eastAsia="zh-CN"/>
        </w:rPr>
        <w:t xml:space="preserve"> design</w:t>
      </w:r>
      <w:r>
        <w:rPr>
          <w:rFonts w:ascii="Times New Roman" w:hAnsi="Times New Roman" w:cs="Times New Roman"/>
          <w:sz w:val="20"/>
          <w:szCs w:val="20"/>
          <w:lang w:eastAsia="zh-CN"/>
        </w:rPr>
        <w:t>, approaches have been introduced with following impact on NR specifications.</w:t>
      </w:r>
    </w:p>
    <w:p w:rsidR="00010ADA" w:rsidRDefault="006902DE">
      <w:pPr>
        <w:pStyle w:val="ListParagraph2"/>
        <w:numPr>
          <w:ilvl w:val="0"/>
          <w:numId w:val="4"/>
        </w:numPr>
        <w:spacing w:after="200" w:line="276" w:lineRule="auto"/>
        <w:ind w:firstLineChars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To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indicat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the common TA for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 given cell,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enhancement on the content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of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existing system information is required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to</w:t>
      </w:r>
      <w:bookmarkStart w:id="6" w:name="_GoBack"/>
      <w:bookmarkEnd w:id="6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includ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e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th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e initial TA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value. </w:t>
      </w:r>
    </w:p>
    <w:p w:rsidR="00010ADA" w:rsidRDefault="006902DE">
      <w:pPr>
        <w:pStyle w:val="ListParagraph2"/>
        <w:numPr>
          <w:ilvl w:val="0"/>
          <w:numId w:val="4"/>
        </w:numPr>
        <w:spacing w:after="200" w:line="276" w:lineRule="auto"/>
        <w:ind w:firstLineChars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To facilitate efficient utilization of random access resource,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PRACH signal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design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with symbol repetition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and a corresponding detection window is to be considered in NTN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random access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</w:p>
    <w:p w:rsidR="00010ADA" w:rsidRDefault="00690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010ADA" w:rsidRDefault="00010ADA">
      <w:pPr>
        <w:jc w:val="both"/>
        <w:rPr>
          <w:sz w:val="24"/>
          <w:lang w:val="en-GB"/>
        </w:rPr>
      </w:pPr>
    </w:p>
    <w:p w:rsidR="00010ADA" w:rsidRDefault="00010ADA">
      <w:pPr>
        <w:pStyle w:val="B1"/>
        <w:ind w:left="0" w:firstLine="0"/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</w:pPr>
    </w:p>
    <w:p w:rsidR="00010ADA" w:rsidRDefault="00010ADA">
      <w:pPr>
        <w:jc w:val="both"/>
        <w:rPr>
          <w:sz w:val="24"/>
          <w:lang w:val="en-GB"/>
        </w:rPr>
      </w:pPr>
    </w:p>
    <w:sectPr w:rsidR="00010ADA">
      <w:footerReference w:type="default" r:id="rId81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2DE" w:rsidRDefault="006902DE">
      <w:pPr>
        <w:spacing w:after="0" w:line="240" w:lineRule="auto"/>
      </w:pPr>
      <w:r>
        <w:separator/>
      </w:r>
    </w:p>
  </w:endnote>
  <w:endnote w:type="continuationSeparator" w:id="0">
    <w:p w:rsidR="006902DE" w:rsidRDefault="0069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</w:sdtPr>
    <w:sdtEndPr/>
    <w:sdtContent>
      <w:p w:rsidR="00010ADA" w:rsidRDefault="006902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0CA">
          <w:rPr>
            <w:noProof/>
          </w:rPr>
          <w:t>3</w:t>
        </w:r>
        <w:r>
          <w:fldChar w:fldCharType="end"/>
        </w:r>
      </w:p>
    </w:sdtContent>
  </w:sdt>
  <w:p w:rsidR="00010ADA" w:rsidRDefault="00010A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2DE" w:rsidRDefault="006902DE">
      <w:pPr>
        <w:spacing w:after="0" w:line="240" w:lineRule="auto"/>
      </w:pPr>
      <w:r>
        <w:separator/>
      </w:r>
    </w:p>
  </w:footnote>
  <w:footnote w:type="continuationSeparator" w:id="0">
    <w:p w:rsidR="006902DE" w:rsidRDefault="00690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61146C1"/>
    <w:multiLevelType w:val="multilevel"/>
    <w:tmpl w:val="161146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ADA"/>
    <w:rsid w:val="00010F94"/>
    <w:rsid w:val="00014C37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FE7"/>
    <w:rsid w:val="00037782"/>
    <w:rsid w:val="000405FD"/>
    <w:rsid w:val="00041657"/>
    <w:rsid w:val="00042B81"/>
    <w:rsid w:val="00042C03"/>
    <w:rsid w:val="00047A18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3D7D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52A4"/>
    <w:rsid w:val="0009000A"/>
    <w:rsid w:val="00093ABD"/>
    <w:rsid w:val="00094199"/>
    <w:rsid w:val="000971F4"/>
    <w:rsid w:val="000973EC"/>
    <w:rsid w:val="00097647"/>
    <w:rsid w:val="000A08A3"/>
    <w:rsid w:val="000A1AE1"/>
    <w:rsid w:val="000A24C7"/>
    <w:rsid w:val="000A2FE5"/>
    <w:rsid w:val="000A4533"/>
    <w:rsid w:val="000A5905"/>
    <w:rsid w:val="000A5A3E"/>
    <w:rsid w:val="000A5CBF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CBF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D8F"/>
    <w:rsid w:val="000F453E"/>
    <w:rsid w:val="000F5575"/>
    <w:rsid w:val="000F64BD"/>
    <w:rsid w:val="001005D2"/>
    <w:rsid w:val="00103493"/>
    <w:rsid w:val="00103FE5"/>
    <w:rsid w:val="001043C5"/>
    <w:rsid w:val="00105C9E"/>
    <w:rsid w:val="0010616A"/>
    <w:rsid w:val="00110759"/>
    <w:rsid w:val="00112AE2"/>
    <w:rsid w:val="00116F84"/>
    <w:rsid w:val="001175C0"/>
    <w:rsid w:val="00120438"/>
    <w:rsid w:val="00122ADB"/>
    <w:rsid w:val="00125CA0"/>
    <w:rsid w:val="00126CF8"/>
    <w:rsid w:val="0012710E"/>
    <w:rsid w:val="00132850"/>
    <w:rsid w:val="0013288C"/>
    <w:rsid w:val="00132E99"/>
    <w:rsid w:val="001330E2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951"/>
    <w:rsid w:val="00152F03"/>
    <w:rsid w:val="00154607"/>
    <w:rsid w:val="00155141"/>
    <w:rsid w:val="001557C1"/>
    <w:rsid w:val="00155853"/>
    <w:rsid w:val="00157DB2"/>
    <w:rsid w:val="00160717"/>
    <w:rsid w:val="001619F2"/>
    <w:rsid w:val="001645C2"/>
    <w:rsid w:val="00166CA6"/>
    <w:rsid w:val="00170442"/>
    <w:rsid w:val="001712ED"/>
    <w:rsid w:val="00171DDF"/>
    <w:rsid w:val="001812E3"/>
    <w:rsid w:val="00183472"/>
    <w:rsid w:val="001840DF"/>
    <w:rsid w:val="00184579"/>
    <w:rsid w:val="0018472F"/>
    <w:rsid w:val="00187C6F"/>
    <w:rsid w:val="00192935"/>
    <w:rsid w:val="00193810"/>
    <w:rsid w:val="00197E0B"/>
    <w:rsid w:val="001A0045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3661"/>
    <w:rsid w:val="001D436B"/>
    <w:rsid w:val="001D7850"/>
    <w:rsid w:val="001D7C16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03B"/>
    <w:rsid w:val="001F0323"/>
    <w:rsid w:val="001F46A7"/>
    <w:rsid w:val="0020061D"/>
    <w:rsid w:val="00202FFE"/>
    <w:rsid w:val="00203CF4"/>
    <w:rsid w:val="00206E46"/>
    <w:rsid w:val="002071E5"/>
    <w:rsid w:val="00207228"/>
    <w:rsid w:val="00211821"/>
    <w:rsid w:val="00214F4F"/>
    <w:rsid w:val="0021618C"/>
    <w:rsid w:val="002176CB"/>
    <w:rsid w:val="002206B6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37592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1FB2"/>
    <w:rsid w:val="002623FA"/>
    <w:rsid w:val="00264714"/>
    <w:rsid w:val="00264C75"/>
    <w:rsid w:val="002653D0"/>
    <w:rsid w:val="0027054D"/>
    <w:rsid w:val="0027077A"/>
    <w:rsid w:val="002763CB"/>
    <w:rsid w:val="00281A49"/>
    <w:rsid w:val="002827B1"/>
    <w:rsid w:val="00284E2F"/>
    <w:rsid w:val="00285BC3"/>
    <w:rsid w:val="0028657D"/>
    <w:rsid w:val="00292F13"/>
    <w:rsid w:val="00294494"/>
    <w:rsid w:val="0029466A"/>
    <w:rsid w:val="0029596C"/>
    <w:rsid w:val="0029675E"/>
    <w:rsid w:val="002A059C"/>
    <w:rsid w:val="002A0AE0"/>
    <w:rsid w:val="002A5488"/>
    <w:rsid w:val="002A5509"/>
    <w:rsid w:val="002A689B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4DEF"/>
    <w:rsid w:val="002D6E8E"/>
    <w:rsid w:val="002E08D8"/>
    <w:rsid w:val="002E1513"/>
    <w:rsid w:val="002E591E"/>
    <w:rsid w:val="002E684A"/>
    <w:rsid w:val="002E7049"/>
    <w:rsid w:val="002F2BBC"/>
    <w:rsid w:val="002F550F"/>
    <w:rsid w:val="002F56DC"/>
    <w:rsid w:val="002F64BF"/>
    <w:rsid w:val="00300C6E"/>
    <w:rsid w:val="00303ED4"/>
    <w:rsid w:val="003073BF"/>
    <w:rsid w:val="0031260B"/>
    <w:rsid w:val="00313E04"/>
    <w:rsid w:val="00314156"/>
    <w:rsid w:val="00314AF9"/>
    <w:rsid w:val="00314F16"/>
    <w:rsid w:val="0031678A"/>
    <w:rsid w:val="00316E65"/>
    <w:rsid w:val="00324F41"/>
    <w:rsid w:val="00325F89"/>
    <w:rsid w:val="00325F8E"/>
    <w:rsid w:val="00326BDF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2727"/>
    <w:rsid w:val="0034322E"/>
    <w:rsid w:val="00343E11"/>
    <w:rsid w:val="00344839"/>
    <w:rsid w:val="003450C7"/>
    <w:rsid w:val="00346842"/>
    <w:rsid w:val="00347A04"/>
    <w:rsid w:val="00347D69"/>
    <w:rsid w:val="0035022C"/>
    <w:rsid w:val="00351B72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173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2D46"/>
    <w:rsid w:val="003939D2"/>
    <w:rsid w:val="003958B8"/>
    <w:rsid w:val="00395995"/>
    <w:rsid w:val="003960CA"/>
    <w:rsid w:val="00396DE0"/>
    <w:rsid w:val="003A0A6D"/>
    <w:rsid w:val="003A29CC"/>
    <w:rsid w:val="003A32FD"/>
    <w:rsid w:val="003A3307"/>
    <w:rsid w:val="003A3F95"/>
    <w:rsid w:val="003A77AC"/>
    <w:rsid w:val="003B1940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32C8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11C"/>
    <w:rsid w:val="0040643F"/>
    <w:rsid w:val="00406B61"/>
    <w:rsid w:val="00407D8B"/>
    <w:rsid w:val="00410186"/>
    <w:rsid w:val="00410C04"/>
    <w:rsid w:val="0041109B"/>
    <w:rsid w:val="0041147C"/>
    <w:rsid w:val="0041341B"/>
    <w:rsid w:val="00413E0F"/>
    <w:rsid w:val="00415612"/>
    <w:rsid w:val="004177DC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144"/>
    <w:rsid w:val="00431FAC"/>
    <w:rsid w:val="004325CA"/>
    <w:rsid w:val="004348D2"/>
    <w:rsid w:val="0043557C"/>
    <w:rsid w:val="00437422"/>
    <w:rsid w:val="004401EA"/>
    <w:rsid w:val="00445289"/>
    <w:rsid w:val="00445C55"/>
    <w:rsid w:val="0045439F"/>
    <w:rsid w:val="004551C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0EB4"/>
    <w:rsid w:val="0047216D"/>
    <w:rsid w:val="00472966"/>
    <w:rsid w:val="00472B68"/>
    <w:rsid w:val="00473BBA"/>
    <w:rsid w:val="0047683B"/>
    <w:rsid w:val="004775CD"/>
    <w:rsid w:val="004819EB"/>
    <w:rsid w:val="004835CD"/>
    <w:rsid w:val="00484AF8"/>
    <w:rsid w:val="004904E5"/>
    <w:rsid w:val="004910C5"/>
    <w:rsid w:val="004910C6"/>
    <w:rsid w:val="00491475"/>
    <w:rsid w:val="00491B2F"/>
    <w:rsid w:val="00492CF5"/>
    <w:rsid w:val="004933A7"/>
    <w:rsid w:val="004935FF"/>
    <w:rsid w:val="00493C1E"/>
    <w:rsid w:val="004958CC"/>
    <w:rsid w:val="00495D6A"/>
    <w:rsid w:val="00495D78"/>
    <w:rsid w:val="004A1366"/>
    <w:rsid w:val="004B32B2"/>
    <w:rsid w:val="004B3D94"/>
    <w:rsid w:val="004B7836"/>
    <w:rsid w:val="004C0E19"/>
    <w:rsid w:val="004C1B9C"/>
    <w:rsid w:val="004C2605"/>
    <w:rsid w:val="004C327F"/>
    <w:rsid w:val="004C338C"/>
    <w:rsid w:val="004C5F6D"/>
    <w:rsid w:val="004D28DB"/>
    <w:rsid w:val="004D4273"/>
    <w:rsid w:val="004D5A4C"/>
    <w:rsid w:val="004D703B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3F8C"/>
    <w:rsid w:val="0050407B"/>
    <w:rsid w:val="0050412A"/>
    <w:rsid w:val="005054F6"/>
    <w:rsid w:val="0050678E"/>
    <w:rsid w:val="00511654"/>
    <w:rsid w:val="00511FAE"/>
    <w:rsid w:val="00512BFD"/>
    <w:rsid w:val="00515E12"/>
    <w:rsid w:val="00517B60"/>
    <w:rsid w:val="00522C8F"/>
    <w:rsid w:val="00525F9A"/>
    <w:rsid w:val="00530024"/>
    <w:rsid w:val="005300CD"/>
    <w:rsid w:val="00530DCF"/>
    <w:rsid w:val="00531EE8"/>
    <w:rsid w:val="0053429E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4B20"/>
    <w:rsid w:val="00555C32"/>
    <w:rsid w:val="005563D0"/>
    <w:rsid w:val="00557C8D"/>
    <w:rsid w:val="00560492"/>
    <w:rsid w:val="00562A56"/>
    <w:rsid w:val="00564B0D"/>
    <w:rsid w:val="00564D0B"/>
    <w:rsid w:val="00565CA6"/>
    <w:rsid w:val="005776E0"/>
    <w:rsid w:val="00580250"/>
    <w:rsid w:val="005803BD"/>
    <w:rsid w:val="0058246B"/>
    <w:rsid w:val="0058372F"/>
    <w:rsid w:val="00584949"/>
    <w:rsid w:val="00585B04"/>
    <w:rsid w:val="005902A7"/>
    <w:rsid w:val="00591429"/>
    <w:rsid w:val="00591449"/>
    <w:rsid w:val="00591F38"/>
    <w:rsid w:val="0059716A"/>
    <w:rsid w:val="005974F8"/>
    <w:rsid w:val="00597D9B"/>
    <w:rsid w:val="005A5B9F"/>
    <w:rsid w:val="005A7EE0"/>
    <w:rsid w:val="005B2F75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3128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0231"/>
    <w:rsid w:val="005F2554"/>
    <w:rsid w:val="005F4680"/>
    <w:rsid w:val="005F51CE"/>
    <w:rsid w:val="005F7A79"/>
    <w:rsid w:val="006010F5"/>
    <w:rsid w:val="00601F50"/>
    <w:rsid w:val="006025E5"/>
    <w:rsid w:val="0060294C"/>
    <w:rsid w:val="00602D65"/>
    <w:rsid w:val="0060321E"/>
    <w:rsid w:val="006032AA"/>
    <w:rsid w:val="00603688"/>
    <w:rsid w:val="006044E9"/>
    <w:rsid w:val="006067C7"/>
    <w:rsid w:val="0060730C"/>
    <w:rsid w:val="006119CC"/>
    <w:rsid w:val="00611A05"/>
    <w:rsid w:val="00612FC9"/>
    <w:rsid w:val="00613A08"/>
    <w:rsid w:val="00614777"/>
    <w:rsid w:val="006162B6"/>
    <w:rsid w:val="00616E43"/>
    <w:rsid w:val="006172CE"/>
    <w:rsid w:val="0061765B"/>
    <w:rsid w:val="006205AB"/>
    <w:rsid w:val="00620675"/>
    <w:rsid w:val="00620902"/>
    <w:rsid w:val="00620B0E"/>
    <w:rsid w:val="0062332A"/>
    <w:rsid w:val="0062382F"/>
    <w:rsid w:val="006248E6"/>
    <w:rsid w:val="006253FE"/>
    <w:rsid w:val="006304A7"/>
    <w:rsid w:val="006315EA"/>
    <w:rsid w:val="00631885"/>
    <w:rsid w:val="00631DC3"/>
    <w:rsid w:val="006333E6"/>
    <w:rsid w:val="006336C2"/>
    <w:rsid w:val="006341C0"/>
    <w:rsid w:val="00636998"/>
    <w:rsid w:val="00636DE6"/>
    <w:rsid w:val="00640358"/>
    <w:rsid w:val="006406D8"/>
    <w:rsid w:val="00641C19"/>
    <w:rsid w:val="00651485"/>
    <w:rsid w:val="006535DB"/>
    <w:rsid w:val="00654235"/>
    <w:rsid w:val="00654FBC"/>
    <w:rsid w:val="00655C73"/>
    <w:rsid w:val="0065791E"/>
    <w:rsid w:val="00661087"/>
    <w:rsid w:val="006618FA"/>
    <w:rsid w:val="00661E40"/>
    <w:rsid w:val="006627CC"/>
    <w:rsid w:val="00664BA3"/>
    <w:rsid w:val="00672217"/>
    <w:rsid w:val="0067430B"/>
    <w:rsid w:val="00675FE6"/>
    <w:rsid w:val="006801C5"/>
    <w:rsid w:val="00680649"/>
    <w:rsid w:val="00683938"/>
    <w:rsid w:val="00684C47"/>
    <w:rsid w:val="00685F29"/>
    <w:rsid w:val="006902DE"/>
    <w:rsid w:val="00690D2D"/>
    <w:rsid w:val="00691265"/>
    <w:rsid w:val="00694734"/>
    <w:rsid w:val="006950E0"/>
    <w:rsid w:val="006A00C7"/>
    <w:rsid w:val="006A185F"/>
    <w:rsid w:val="006A1A84"/>
    <w:rsid w:val="006A1D7D"/>
    <w:rsid w:val="006A4600"/>
    <w:rsid w:val="006A5DE5"/>
    <w:rsid w:val="006B0179"/>
    <w:rsid w:val="006B0598"/>
    <w:rsid w:val="006B081A"/>
    <w:rsid w:val="006B316C"/>
    <w:rsid w:val="006B395F"/>
    <w:rsid w:val="006B5F83"/>
    <w:rsid w:val="006B7A6A"/>
    <w:rsid w:val="006C0833"/>
    <w:rsid w:val="006C3EFA"/>
    <w:rsid w:val="006C4B17"/>
    <w:rsid w:val="006C501B"/>
    <w:rsid w:val="006C557B"/>
    <w:rsid w:val="006D06E3"/>
    <w:rsid w:val="006D0B24"/>
    <w:rsid w:val="006D32E6"/>
    <w:rsid w:val="006D7BD2"/>
    <w:rsid w:val="006E024C"/>
    <w:rsid w:val="006E1605"/>
    <w:rsid w:val="006E3384"/>
    <w:rsid w:val="006E6FF0"/>
    <w:rsid w:val="006F1B31"/>
    <w:rsid w:val="007007C2"/>
    <w:rsid w:val="00704465"/>
    <w:rsid w:val="00706472"/>
    <w:rsid w:val="00706536"/>
    <w:rsid w:val="00707EDB"/>
    <w:rsid w:val="007124CB"/>
    <w:rsid w:val="00713819"/>
    <w:rsid w:val="00714CCC"/>
    <w:rsid w:val="00715C70"/>
    <w:rsid w:val="0071738D"/>
    <w:rsid w:val="00717CB8"/>
    <w:rsid w:val="0072025C"/>
    <w:rsid w:val="00721283"/>
    <w:rsid w:val="00722517"/>
    <w:rsid w:val="00722DE1"/>
    <w:rsid w:val="00723CA1"/>
    <w:rsid w:val="0072444E"/>
    <w:rsid w:val="00724BC5"/>
    <w:rsid w:val="00724FE9"/>
    <w:rsid w:val="007252BF"/>
    <w:rsid w:val="007258E0"/>
    <w:rsid w:val="00725917"/>
    <w:rsid w:val="00732A64"/>
    <w:rsid w:val="007336A9"/>
    <w:rsid w:val="00734C2A"/>
    <w:rsid w:val="00734E52"/>
    <w:rsid w:val="0073591F"/>
    <w:rsid w:val="007373D9"/>
    <w:rsid w:val="00740EA0"/>
    <w:rsid w:val="007420D2"/>
    <w:rsid w:val="00742E59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2F0C"/>
    <w:rsid w:val="00753000"/>
    <w:rsid w:val="00753519"/>
    <w:rsid w:val="00757CDB"/>
    <w:rsid w:val="00761EAA"/>
    <w:rsid w:val="007629C1"/>
    <w:rsid w:val="00763492"/>
    <w:rsid w:val="00765812"/>
    <w:rsid w:val="00767BF8"/>
    <w:rsid w:val="00767F3F"/>
    <w:rsid w:val="00770025"/>
    <w:rsid w:val="00774C32"/>
    <w:rsid w:val="0077521F"/>
    <w:rsid w:val="007762C7"/>
    <w:rsid w:val="00776300"/>
    <w:rsid w:val="00777A45"/>
    <w:rsid w:val="00777C69"/>
    <w:rsid w:val="00781C8B"/>
    <w:rsid w:val="007825AF"/>
    <w:rsid w:val="00785E83"/>
    <w:rsid w:val="007861DF"/>
    <w:rsid w:val="0079207A"/>
    <w:rsid w:val="00796F4A"/>
    <w:rsid w:val="00797A8C"/>
    <w:rsid w:val="007A047F"/>
    <w:rsid w:val="007A0C2D"/>
    <w:rsid w:val="007A1AA8"/>
    <w:rsid w:val="007A4075"/>
    <w:rsid w:val="007A5838"/>
    <w:rsid w:val="007B0187"/>
    <w:rsid w:val="007B02FF"/>
    <w:rsid w:val="007B3ACC"/>
    <w:rsid w:val="007B5680"/>
    <w:rsid w:val="007B6675"/>
    <w:rsid w:val="007B7230"/>
    <w:rsid w:val="007C0B8B"/>
    <w:rsid w:val="007C1F63"/>
    <w:rsid w:val="007C23CF"/>
    <w:rsid w:val="007C3153"/>
    <w:rsid w:val="007C34B4"/>
    <w:rsid w:val="007C3C38"/>
    <w:rsid w:val="007C4FA7"/>
    <w:rsid w:val="007C60C8"/>
    <w:rsid w:val="007C70C7"/>
    <w:rsid w:val="007C715E"/>
    <w:rsid w:val="007D15EE"/>
    <w:rsid w:val="007D26A3"/>
    <w:rsid w:val="007D26FE"/>
    <w:rsid w:val="007D3218"/>
    <w:rsid w:val="007D351A"/>
    <w:rsid w:val="007D5258"/>
    <w:rsid w:val="007D60BF"/>
    <w:rsid w:val="007D75FC"/>
    <w:rsid w:val="007D7E09"/>
    <w:rsid w:val="007E1971"/>
    <w:rsid w:val="007E2E42"/>
    <w:rsid w:val="007E3753"/>
    <w:rsid w:val="007E46B1"/>
    <w:rsid w:val="007F06D6"/>
    <w:rsid w:val="007F3F0A"/>
    <w:rsid w:val="007F4055"/>
    <w:rsid w:val="007F443B"/>
    <w:rsid w:val="007F5234"/>
    <w:rsid w:val="007F7F9A"/>
    <w:rsid w:val="008001D2"/>
    <w:rsid w:val="00802DBE"/>
    <w:rsid w:val="008036AD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276E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B18"/>
    <w:rsid w:val="0084424F"/>
    <w:rsid w:val="00844EAD"/>
    <w:rsid w:val="00845A04"/>
    <w:rsid w:val="0084609F"/>
    <w:rsid w:val="008475D3"/>
    <w:rsid w:val="00851A74"/>
    <w:rsid w:val="008556D7"/>
    <w:rsid w:val="00855E53"/>
    <w:rsid w:val="0085775F"/>
    <w:rsid w:val="00861F1A"/>
    <w:rsid w:val="008620EC"/>
    <w:rsid w:val="00862CC3"/>
    <w:rsid w:val="00864189"/>
    <w:rsid w:val="0086464C"/>
    <w:rsid w:val="00867E09"/>
    <w:rsid w:val="00872945"/>
    <w:rsid w:val="00873153"/>
    <w:rsid w:val="00873A82"/>
    <w:rsid w:val="00873C0A"/>
    <w:rsid w:val="00873E2E"/>
    <w:rsid w:val="0087550C"/>
    <w:rsid w:val="00877AF9"/>
    <w:rsid w:val="00880FCD"/>
    <w:rsid w:val="008818C9"/>
    <w:rsid w:val="0088279C"/>
    <w:rsid w:val="00883F3F"/>
    <w:rsid w:val="00890E8F"/>
    <w:rsid w:val="00891604"/>
    <w:rsid w:val="00891A8D"/>
    <w:rsid w:val="008923E8"/>
    <w:rsid w:val="008923EE"/>
    <w:rsid w:val="008927A4"/>
    <w:rsid w:val="00894C2D"/>
    <w:rsid w:val="00895C63"/>
    <w:rsid w:val="008964B6"/>
    <w:rsid w:val="008964D6"/>
    <w:rsid w:val="00896D19"/>
    <w:rsid w:val="00897B3B"/>
    <w:rsid w:val="008A2170"/>
    <w:rsid w:val="008A4645"/>
    <w:rsid w:val="008A495C"/>
    <w:rsid w:val="008A4E94"/>
    <w:rsid w:val="008A58CB"/>
    <w:rsid w:val="008A6BE4"/>
    <w:rsid w:val="008A7AB3"/>
    <w:rsid w:val="008B0025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D0E8B"/>
    <w:rsid w:val="008D2A29"/>
    <w:rsid w:val="008D2DFB"/>
    <w:rsid w:val="008D3E9E"/>
    <w:rsid w:val="008D706A"/>
    <w:rsid w:val="008E04E0"/>
    <w:rsid w:val="008E0CDD"/>
    <w:rsid w:val="008E1265"/>
    <w:rsid w:val="008E1C93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2C3B"/>
    <w:rsid w:val="00903E53"/>
    <w:rsid w:val="009064F7"/>
    <w:rsid w:val="0091016F"/>
    <w:rsid w:val="00911ADB"/>
    <w:rsid w:val="009137CF"/>
    <w:rsid w:val="0091668C"/>
    <w:rsid w:val="009169B8"/>
    <w:rsid w:val="00917303"/>
    <w:rsid w:val="00917582"/>
    <w:rsid w:val="00917F45"/>
    <w:rsid w:val="0092132D"/>
    <w:rsid w:val="00922225"/>
    <w:rsid w:val="00922337"/>
    <w:rsid w:val="00923FE2"/>
    <w:rsid w:val="00924214"/>
    <w:rsid w:val="00924280"/>
    <w:rsid w:val="0092536C"/>
    <w:rsid w:val="00927A1B"/>
    <w:rsid w:val="009352EF"/>
    <w:rsid w:val="009362AE"/>
    <w:rsid w:val="00937EB8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24C6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646"/>
    <w:rsid w:val="00990AFC"/>
    <w:rsid w:val="00991B97"/>
    <w:rsid w:val="00991BE1"/>
    <w:rsid w:val="00992052"/>
    <w:rsid w:val="00992673"/>
    <w:rsid w:val="009926C1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1A3D"/>
    <w:rsid w:val="009B5CF4"/>
    <w:rsid w:val="009B6B19"/>
    <w:rsid w:val="009C1E1D"/>
    <w:rsid w:val="009C4005"/>
    <w:rsid w:val="009C4C67"/>
    <w:rsid w:val="009C7896"/>
    <w:rsid w:val="009D2619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71CF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162"/>
    <w:rsid w:val="00A0583E"/>
    <w:rsid w:val="00A05DF0"/>
    <w:rsid w:val="00A1549F"/>
    <w:rsid w:val="00A15651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5AD9"/>
    <w:rsid w:val="00A26016"/>
    <w:rsid w:val="00A26D8E"/>
    <w:rsid w:val="00A26DF2"/>
    <w:rsid w:val="00A27B26"/>
    <w:rsid w:val="00A415B6"/>
    <w:rsid w:val="00A45C29"/>
    <w:rsid w:val="00A45C80"/>
    <w:rsid w:val="00A4633B"/>
    <w:rsid w:val="00A4783D"/>
    <w:rsid w:val="00A5125D"/>
    <w:rsid w:val="00A52893"/>
    <w:rsid w:val="00A54F44"/>
    <w:rsid w:val="00A57AF9"/>
    <w:rsid w:val="00A57C76"/>
    <w:rsid w:val="00A57CE0"/>
    <w:rsid w:val="00A61E44"/>
    <w:rsid w:val="00A62991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0653"/>
    <w:rsid w:val="00A918E6"/>
    <w:rsid w:val="00A9206A"/>
    <w:rsid w:val="00A9292E"/>
    <w:rsid w:val="00A95668"/>
    <w:rsid w:val="00A96CC6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92C"/>
    <w:rsid w:val="00AD7E4C"/>
    <w:rsid w:val="00AE0D2E"/>
    <w:rsid w:val="00AE27A8"/>
    <w:rsid w:val="00AE3206"/>
    <w:rsid w:val="00AE380E"/>
    <w:rsid w:val="00AE4183"/>
    <w:rsid w:val="00AE4B14"/>
    <w:rsid w:val="00AE5AB2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4B38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622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37BFA"/>
    <w:rsid w:val="00B4001E"/>
    <w:rsid w:val="00B40197"/>
    <w:rsid w:val="00B40980"/>
    <w:rsid w:val="00B4111B"/>
    <w:rsid w:val="00B412DE"/>
    <w:rsid w:val="00B415A8"/>
    <w:rsid w:val="00B43492"/>
    <w:rsid w:val="00B45124"/>
    <w:rsid w:val="00B45ED9"/>
    <w:rsid w:val="00B46E53"/>
    <w:rsid w:val="00B47643"/>
    <w:rsid w:val="00B5023F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6569B"/>
    <w:rsid w:val="00B707A7"/>
    <w:rsid w:val="00B72D75"/>
    <w:rsid w:val="00B72DF0"/>
    <w:rsid w:val="00B740D5"/>
    <w:rsid w:val="00B75A23"/>
    <w:rsid w:val="00B75A4E"/>
    <w:rsid w:val="00B769EE"/>
    <w:rsid w:val="00B76DC9"/>
    <w:rsid w:val="00B77286"/>
    <w:rsid w:val="00B77845"/>
    <w:rsid w:val="00B8023E"/>
    <w:rsid w:val="00B82E90"/>
    <w:rsid w:val="00B87EFA"/>
    <w:rsid w:val="00B90489"/>
    <w:rsid w:val="00B929EA"/>
    <w:rsid w:val="00B92C4B"/>
    <w:rsid w:val="00B94A25"/>
    <w:rsid w:val="00B95591"/>
    <w:rsid w:val="00B95E05"/>
    <w:rsid w:val="00B960F0"/>
    <w:rsid w:val="00BA02FD"/>
    <w:rsid w:val="00BA250E"/>
    <w:rsid w:val="00BA52D2"/>
    <w:rsid w:val="00BA5646"/>
    <w:rsid w:val="00BB2868"/>
    <w:rsid w:val="00BB713B"/>
    <w:rsid w:val="00BB74CF"/>
    <w:rsid w:val="00BB7706"/>
    <w:rsid w:val="00BC007E"/>
    <w:rsid w:val="00BC01AE"/>
    <w:rsid w:val="00BC109C"/>
    <w:rsid w:val="00BC1297"/>
    <w:rsid w:val="00BC1CA7"/>
    <w:rsid w:val="00BC30F0"/>
    <w:rsid w:val="00BC48EB"/>
    <w:rsid w:val="00BC70FB"/>
    <w:rsid w:val="00BD29FC"/>
    <w:rsid w:val="00BD30D6"/>
    <w:rsid w:val="00BD3A77"/>
    <w:rsid w:val="00BD3F59"/>
    <w:rsid w:val="00BD4B1B"/>
    <w:rsid w:val="00BD6A43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6899"/>
    <w:rsid w:val="00BF7226"/>
    <w:rsid w:val="00C0205C"/>
    <w:rsid w:val="00C03705"/>
    <w:rsid w:val="00C03C52"/>
    <w:rsid w:val="00C04A6C"/>
    <w:rsid w:val="00C05381"/>
    <w:rsid w:val="00C05511"/>
    <w:rsid w:val="00C10525"/>
    <w:rsid w:val="00C108D0"/>
    <w:rsid w:val="00C10E36"/>
    <w:rsid w:val="00C114ED"/>
    <w:rsid w:val="00C1236F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1E69"/>
    <w:rsid w:val="00C32840"/>
    <w:rsid w:val="00C351F0"/>
    <w:rsid w:val="00C3774E"/>
    <w:rsid w:val="00C402A6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27D3"/>
    <w:rsid w:val="00C73856"/>
    <w:rsid w:val="00C738A1"/>
    <w:rsid w:val="00C742FB"/>
    <w:rsid w:val="00C745F6"/>
    <w:rsid w:val="00C74D25"/>
    <w:rsid w:val="00C74DF1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50E"/>
    <w:rsid w:val="00CD78CD"/>
    <w:rsid w:val="00CE0752"/>
    <w:rsid w:val="00CE345A"/>
    <w:rsid w:val="00CE597B"/>
    <w:rsid w:val="00CE70BC"/>
    <w:rsid w:val="00CE7957"/>
    <w:rsid w:val="00CF1533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206B4"/>
    <w:rsid w:val="00D20CF0"/>
    <w:rsid w:val="00D21C5E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FBA"/>
    <w:rsid w:val="00D4032D"/>
    <w:rsid w:val="00D42D92"/>
    <w:rsid w:val="00D434D2"/>
    <w:rsid w:val="00D43C01"/>
    <w:rsid w:val="00D455F3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7E7"/>
    <w:rsid w:val="00D54E29"/>
    <w:rsid w:val="00D572D6"/>
    <w:rsid w:val="00D57819"/>
    <w:rsid w:val="00D6013A"/>
    <w:rsid w:val="00D6205C"/>
    <w:rsid w:val="00D628DC"/>
    <w:rsid w:val="00D63048"/>
    <w:rsid w:val="00D6651A"/>
    <w:rsid w:val="00D67E67"/>
    <w:rsid w:val="00D70AFE"/>
    <w:rsid w:val="00D70B34"/>
    <w:rsid w:val="00D713DA"/>
    <w:rsid w:val="00D71DDE"/>
    <w:rsid w:val="00D7263F"/>
    <w:rsid w:val="00D7398B"/>
    <w:rsid w:val="00D73D55"/>
    <w:rsid w:val="00D75AFC"/>
    <w:rsid w:val="00D805F0"/>
    <w:rsid w:val="00D80C84"/>
    <w:rsid w:val="00D8486E"/>
    <w:rsid w:val="00D8564C"/>
    <w:rsid w:val="00D876F3"/>
    <w:rsid w:val="00D87918"/>
    <w:rsid w:val="00D90826"/>
    <w:rsid w:val="00D9120D"/>
    <w:rsid w:val="00D92AA4"/>
    <w:rsid w:val="00D92BEA"/>
    <w:rsid w:val="00D932EA"/>
    <w:rsid w:val="00D9398F"/>
    <w:rsid w:val="00D94AA5"/>
    <w:rsid w:val="00D95254"/>
    <w:rsid w:val="00D9646E"/>
    <w:rsid w:val="00D9650F"/>
    <w:rsid w:val="00D96534"/>
    <w:rsid w:val="00D96B60"/>
    <w:rsid w:val="00D96E22"/>
    <w:rsid w:val="00D9726C"/>
    <w:rsid w:val="00DA0225"/>
    <w:rsid w:val="00DA21C6"/>
    <w:rsid w:val="00DA3F93"/>
    <w:rsid w:val="00DA435A"/>
    <w:rsid w:val="00DA4DF9"/>
    <w:rsid w:val="00DA5C3C"/>
    <w:rsid w:val="00DA6DC7"/>
    <w:rsid w:val="00DB05E2"/>
    <w:rsid w:val="00DB1C17"/>
    <w:rsid w:val="00DB367C"/>
    <w:rsid w:val="00DB459A"/>
    <w:rsid w:val="00DB56B1"/>
    <w:rsid w:val="00DB5E30"/>
    <w:rsid w:val="00DC053E"/>
    <w:rsid w:val="00DC1AF3"/>
    <w:rsid w:val="00DC1F40"/>
    <w:rsid w:val="00DC239D"/>
    <w:rsid w:val="00DC45C5"/>
    <w:rsid w:val="00DC6235"/>
    <w:rsid w:val="00DC7686"/>
    <w:rsid w:val="00DC7B31"/>
    <w:rsid w:val="00DD3021"/>
    <w:rsid w:val="00DD62DD"/>
    <w:rsid w:val="00DD6A84"/>
    <w:rsid w:val="00DD7407"/>
    <w:rsid w:val="00DE0934"/>
    <w:rsid w:val="00DE16B2"/>
    <w:rsid w:val="00DE2B79"/>
    <w:rsid w:val="00DE3805"/>
    <w:rsid w:val="00DE63A4"/>
    <w:rsid w:val="00DF2049"/>
    <w:rsid w:val="00DF2100"/>
    <w:rsid w:val="00DF436E"/>
    <w:rsid w:val="00DF546B"/>
    <w:rsid w:val="00DF582C"/>
    <w:rsid w:val="00DF5A67"/>
    <w:rsid w:val="00DF6924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54E8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0F0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FFD"/>
    <w:rsid w:val="00E85648"/>
    <w:rsid w:val="00E86C8C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33C4"/>
    <w:rsid w:val="00EC0444"/>
    <w:rsid w:val="00EC4885"/>
    <w:rsid w:val="00EC56B9"/>
    <w:rsid w:val="00EC646A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89E"/>
    <w:rsid w:val="00EF5F00"/>
    <w:rsid w:val="00EF7507"/>
    <w:rsid w:val="00F00285"/>
    <w:rsid w:val="00F02370"/>
    <w:rsid w:val="00F0269B"/>
    <w:rsid w:val="00F04115"/>
    <w:rsid w:val="00F06DF9"/>
    <w:rsid w:val="00F07216"/>
    <w:rsid w:val="00F10773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53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526A"/>
    <w:rsid w:val="00F6796F"/>
    <w:rsid w:val="00F716A9"/>
    <w:rsid w:val="00F743A4"/>
    <w:rsid w:val="00F76858"/>
    <w:rsid w:val="00F7793E"/>
    <w:rsid w:val="00F81C3F"/>
    <w:rsid w:val="00F8229D"/>
    <w:rsid w:val="00F82AFF"/>
    <w:rsid w:val="00F836CE"/>
    <w:rsid w:val="00F83B43"/>
    <w:rsid w:val="00F84446"/>
    <w:rsid w:val="00F85CF4"/>
    <w:rsid w:val="00F87188"/>
    <w:rsid w:val="00F9143C"/>
    <w:rsid w:val="00F9153A"/>
    <w:rsid w:val="00F93C1D"/>
    <w:rsid w:val="00F95EFB"/>
    <w:rsid w:val="00F97CF3"/>
    <w:rsid w:val="00FA27F3"/>
    <w:rsid w:val="00FA3DF2"/>
    <w:rsid w:val="00FA77A3"/>
    <w:rsid w:val="00FB2CA0"/>
    <w:rsid w:val="00FB38D9"/>
    <w:rsid w:val="00FB393E"/>
    <w:rsid w:val="00FB416D"/>
    <w:rsid w:val="00FB4E17"/>
    <w:rsid w:val="00FB5C67"/>
    <w:rsid w:val="00FB6773"/>
    <w:rsid w:val="00FB6B21"/>
    <w:rsid w:val="00FB7B74"/>
    <w:rsid w:val="00FC037A"/>
    <w:rsid w:val="00FC11A1"/>
    <w:rsid w:val="00FC2112"/>
    <w:rsid w:val="00FC259E"/>
    <w:rsid w:val="00FC69FC"/>
    <w:rsid w:val="00FC7DDE"/>
    <w:rsid w:val="00FD1552"/>
    <w:rsid w:val="00FD781F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313"/>
    <w:rsid w:val="00FF75EF"/>
    <w:rsid w:val="011022FA"/>
    <w:rsid w:val="02535BBA"/>
    <w:rsid w:val="026A314F"/>
    <w:rsid w:val="03457B2E"/>
    <w:rsid w:val="04A60942"/>
    <w:rsid w:val="05EA7A51"/>
    <w:rsid w:val="0798517B"/>
    <w:rsid w:val="087F5ABE"/>
    <w:rsid w:val="08C21989"/>
    <w:rsid w:val="08DA0B53"/>
    <w:rsid w:val="0A223BA6"/>
    <w:rsid w:val="0A7B7F67"/>
    <w:rsid w:val="0AFE4CEF"/>
    <w:rsid w:val="0B441D5E"/>
    <w:rsid w:val="0F6335C0"/>
    <w:rsid w:val="10473F3C"/>
    <w:rsid w:val="10F92986"/>
    <w:rsid w:val="130C2CAE"/>
    <w:rsid w:val="13526793"/>
    <w:rsid w:val="1531606E"/>
    <w:rsid w:val="158F5656"/>
    <w:rsid w:val="1B1F7019"/>
    <w:rsid w:val="1BE23184"/>
    <w:rsid w:val="1C0F6FC9"/>
    <w:rsid w:val="1D1E2BC6"/>
    <w:rsid w:val="1D5055A9"/>
    <w:rsid w:val="1E242549"/>
    <w:rsid w:val="1F9C5F43"/>
    <w:rsid w:val="1FF66620"/>
    <w:rsid w:val="20995E67"/>
    <w:rsid w:val="20BC51B5"/>
    <w:rsid w:val="21FB56B8"/>
    <w:rsid w:val="2314352A"/>
    <w:rsid w:val="236A2246"/>
    <w:rsid w:val="241F1635"/>
    <w:rsid w:val="25667B80"/>
    <w:rsid w:val="25C07AEC"/>
    <w:rsid w:val="25D477E7"/>
    <w:rsid w:val="296E7F12"/>
    <w:rsid w:val="2B675C25"/>
    <w:rsid w:val="2B7877C5"/>
    <w:rsid w:val="2D0D30F7"/>
    <w:rsid w:val="2D701BB1"/>
    <w:rsid w:val="2E2B57F6"/>
    <w:rsid w:val="31380B70"/>
    <w:rsid w:val="341625C5"/>
    <w:rsid w:val="34624668"/>
    <w:rsid w:val="35A75D0B"/>
    <w:rsid w:val="35E07FE8"/>
    <w:rsid w:val="36CB52E3"/>
    <w:rsid w:val="379A0C82"/>
    <w:rsid w:val="38955AC5"/>
    <w:rsid w:val="3DBB3E14"/>
    <w:rsid w:val="3DC64B5C"/>
    <w:rsid w:val="3DF95A10"/>
    <w:rsid w:val="3EC86E73"/>
    <w:rsid w:val="401F5221"/>
    <w:rsid w:val="405A7D71"/>
    <w:rsid w:val="428A673E"/>
    <w:rsid w:val="42FF06F1"/>
    <w:rsid w:val="44034445"/>
    <w:rsid w:val="453A42BB"/>
    <w:rsid w:val="45616C91"/>
    <w:rsid w:val="45657B90"/>
    <w:rsid w:val="46703125"/>
    <w:rsid w:val="49D913E3"/>
    <w:rsid w:val="4B207C8E"/>
    <w:rsid w:val="4F362DC3"/>
    <w:rsid w:val="504C7D4A"/>
    <w:rsid w:val="50A84B01"/>
    <w:rsid w:val="53E567AF"/>
    <w:rsid w:val="54766E3B"/>
    <w:rsid w:val="55370E98"/>
    <w:rsid w:val="56D63E04"/>
    <w:rsid w:val="57BA34DD"/>
    <w:rsid w:val="5BA70491"/>
    <w:rsid w:val="5BF159FB"/>
    <w:rsid w:val="5BFA04EA"/>
    <w:rsid w:val="5E7652D7"/>
    <w:rsid w:val="5EB835EA"/>
    <w:rsid w:val="60F040FC"/>
    <w:rsid w:val="61812A7F"/>
    <w:rsid w:val="622409D2"/>
    <w:rsid w:val="624D7438"/>
    <w:rsid w:val="62980472"/>
    <w:rsid w:val="631840A6"/>
    <w:rsid w:val="63C346AD"/>
    <w:rsid w:val="63DD32F4"/>
    <w:rsid w:val="63DD5F39"/>
    <w:rsid w:val="655C1CE0"/>
    <w:rsid w:val="655E440D"/>
    <w:rsid w:val="65A47804"/>
    <w:rsid w:val="669D2E44"/>
    <w:rsid w:val="66BB57A1"/>
    <w:rsid w:val="67B238B6"/>
    <w:rsid w:val="68E05AFD"/>
    <w:rsid w:val="69182EE6"/>
    <w:rsid w:val="6BFA79CC"/>
    <w:rsid w:val="6D2321D3"/>
    <w:rsid w:val="6D38341A"/>
    <w:rsid w:val="6DB5003B"/>
    <w:rsid w:val="6E6A5AE5"/>
    <w:rsid w:val="6ED425D1"/>
    <w:rsid w:val="73D30207"/>
    <w:rsid w:val="74040037"/>
    <w:rsid w:val="750434CE"/>
    <w:rsid w:val="75575BC7"/>
    <w:rsid w:val="770B5EC8"/>
    <w:rsid w:val="78F644C3"/>
    <w:rsid w:val="79003A49"/>
    <w:rsid w:val="7A1D3056"/>
    <w:rsid w:val="7B910011"/>
    <w:rsid w:val="7C182A0C"/>
    <w:rsid w:val="7D0A450E"/>
    <w:rsid w:val="7DD61F49"/>
    <w:rsid w:val="7E3C0E8E"/>
    <w:rsid w:val="7F35002E"/>
    <w:rsid w:val="7F90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35A105D-FEFE-4E64-8645-DAD962B1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176C3"/>
      <w:u w:val="non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ZGSM">
    <w:name w:val="ZGSM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character" w:customStyle="1" w:styleId="CaptionChar">
    <w:name w:val="Caption Char"/>
    <w:link w:val="Caption"/>
    <w:qFormat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Qualcomm Office" w:eastAsiaTheme="minorHAnsi" w:hAnsi="Qualcomm Office" w:cs="Qualcomm Office"/>
      <w:color w:val="000000"/>
      <w:sz w:val="24"/>
      <w:szCs w:val="24"/>
      <w:lang w:eastAsia="en-US"/>
    </w:rPr>
  </w:style>
  <w:style w:type="paragraph" w:customStyle="1" w:styleId="para">
    <w:name w:val="para"/>
    <w:basedOn w:val="Normal"/>
    <w:qFormat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ref">
    <w:name w:val="citationref"/>
    <w:basedOn w:val="DefaultParagraphFont"/>
    <w:qFormat/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qFormat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hAnsi="Calibri"/>
      <w:szCs w:val="21"/>
      <w:lang w:val="fr-FR"/>
    </w:rPr>
  </w:style>
  <w:style w:type="paragraph" w:customStyle="1" w:styleId="Revision1">
    <w:name w:val="Revision1"/>
    <w:hidden/>
    <w:uiPriority w:val="99"/>
    <w:semiHidden/>
    <w:qFormat/>
    <w:rPr>
      <w:rFonts w:eastAsiaTheme="minorHAnsi"/>
      <w:sz w:val="22"/>
      <w:szCs w:val="22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H6">
    <w:name w:val="H6"/>
    <w:basedOn w:val="Heading5"/>
    <w:next w:val="Normal"/>
    <w:qFormat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 w:cs="Times New Roman"/>
      <w:lang w:val="en-GB" w:eastAsia="en-US"/>
    </w:rPr>
  </w:style>
  <w:style w:type="paragraph" w:customStyle="1" w:styleId="EX">
    <w:name w:val="EX"/>
    <w:basedOn w:val="Normal"/>
    <w:qFormat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qFormat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qFormat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qFormat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3GPPHeader">
    <w:name w:val="3GPP_Header"/>
    <w:basedOn w:val="Normal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Proposal">
    <w:name w:val="Proposal"/>
    <w:basedOn w:val="Normal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  <w:jc w:val="both"/>
    </w:pPr>
    <w:rPr>
      <w:rFonts w:eastAsiaTheme="minorEastAsia"/>
      <w:b/>
      <w:bCs/>
      <w:kern w:val="2"/>
      <w:sz w:val="21"/>
      <w:lang w:eastAsia="zh-CN"/>
    </w:rPr>
  </w:style>
  <w:style w:type="character" w:customStyle="1" w:styleId="PlaceholderText2">
    <w:name w:val="Placeholder Text2"/>
    <w:basedOn w:val="DefaultParagraphFont"/>
    <w:uiPriority w:val="99"/>
    <w:semiHidden/>
    <w:qFormat/>
    <w:rPr>
      <w:color w:val="808080"/>
    </w:rPr>
  </w:style>
  <w:style w:type="paragraph" w:customStyle="1" w:styleId="Style1">
    <w:name w:val="_Style 1"/>
    <w:basedOn w:val="Normal"/>
    <w:uiPriority w:val="34"/>
    <w:qFormat/>
    <w:pPr>
      <w:ind w:left="720"/>
      <w:contextualSpacing/>
    </w:pPr>
  </w:style>
  <w:style w:type="paragraph" w:customStyle="1" w:styleId="ListParagraph2">
    <w:name w:val="List Paragraph2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6.png"/><Relationship Id="rId76" Type="http://schemas.openxmlformats.org/officeDocument/2006/relationships/oleObject" Target="embeddings/oleObject38.bin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5.wmf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82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2.png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4.wmf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B169B-E9A0-4E91-9393-55545CDA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924</Words>
  <Characters>5269</Characters>
  <Application>Microsoft Office Word</Application>
  <DocSecurity>0</DocSecurity>
  <Lines>43</Lines>
  <Paragraphs>12</Paragraphs>
  <ScaleCrop>false</ScaleCrop>
  <Company>Thales SPACE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ZTE</cp:lastModifiedBy>
  <cp:revision>47</cp:revision>
  <cp:lastPrinted>2017-11-07T14:24:00Z</cp:lastPrinted>
  <dcterms:created xsi:type="dcterms:W3CDTF">2018-02-13T07:13:00Z</dcterms:created>
  <dcterms:modified xsi:type="dcterms:W3CDTF">2018-04-06T06:28:00Z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